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rPr>
      </w:pPr>
    </w:p>
    <w:p>
      <w:pPr>
        <w:spacing w:line="360" w:lineRule="auto"/>
        <w:ind w:firstLine="883" w:firstLineChars="200"/>
        <w:jc w:val="center"/>
        <w:rPr>
          <w:rFonts w:ascii="黑体" w:hAnsi="黑体" w:eastAsia="黑体"/>
          <w:b/>
          <w:bCs/>
          <w:color w:val="000000"/>
          <w:sz w:val="44"/>
          <w:szCs w:val="44"/>
        </w:rPr>
      </w:pPr>
      <w:r>
        <w:rPr>
          <w:rFonts w:hint="eastAsia" w:ascii="黑体" w:hAnsi="黑体" w:eastAsia="黑体"/>
          <w:b/>
          <w:bCs/>
          <w:color w:val="000000"/>
          <w:sz w:val="44"/>
          <w:szCs w:val="44"/>
        </w:rPr>
        <w:t>网络金融核心平台</w:t>
      </w:r>
    </w:p>
    <w:p>
      <w:pPr>
        <w:spacing w:line="360" w:lineRule="auto"/>
        <w:ind w:firstLine="883" w:firstLineChars="200"/>
        <w:jc w:val="center"/>
        <w:rPr>
          <w:rFonts w:ascii="黑体" w:hAnsi="黑体" w:eastAsia="黑体"/>
          <w:b/>
          <w:bCs/>
          <w:color w:val="000000"/>
          <w:sz w:val="44"/>
          <w:szCs w:val="44"/>
        </w:rPr>
      </w:pPr>
      <w:r>
        <w:rPr>
          <w:rFonts w:hint="eastAsia" w:ascii="黑体" w:hAnsi="黑体" w:eastAsia="黑体"/>
          <w:b/>
          <w:bCs/>
          <w:color w:val="000000"/>
          <w:sz w:val="44"/>
          <w:szCs w:val="44"/>
        </w:rPr>
        <w:t>关联系统改造说明书</w:t>
      </w:r>
    </w:p>
    <w:p>
      <w:pPr>
        <w:spacing w:line="360" w:lineRule="auto"/>
        <w:ind w:firstLine="883" w:firstLineChars="200"/>
        <w:jc w:val="center"/>
        <w:rPr>
          <w:rFonts w:ascii="黑体" w:hAnsi="黑体" w:eastAsia="黑体"/>
          <w:b/>
          <w:bCs/>
          <w:color w:val="000000"/>
          <w:sz w:val="44"/>
          <w:szCs w:val="44"/>
        </w:rPr>
      </w:pPr>
      <w:r>
        <w:rPr>
          <w:rFonts w:hint="eastAsia" w:ascii="黑体" w:hAnsi="黑体" w:eastAsia="黑体"/>
          <w:b/>
          <w:bCs/>
          <w:color w:val="000000"/>
          <w:sz w:val="44"/>
          <w:szCs w:val="44"/>
        </w:rPr>
        <w:t>柜面核心（清算）</w:t>
      </w:r>
    </w:p>
    <w:p>
      <w:pPr>
        <w:spacing w:line="360" w:lineRule="auto"/>
        <w:jc w:val="center"/>
        <w:rPr>
          <w:rFonts w:hAnsi="宋体"/>
          <w:b/>
        </w:rPr>
      </w:pPr>
    </w:p>
    <w:p>
      <w:pPr>
        <w:spacing w:line="360" w:lineRule="auto"/>
        <w:jc w:val="center"/>
        <w:rPr>
          <w:rFonts w:hAnsi="宋体"/>
          <w:b/>
        </w:rPr>
      </w:pPr>
    </w:p>
    <w:p>
      <w:pPr>
        <w:pBdr>
          <w:bottom w:val="single" w:color="auto" w:sz="12" w:space="1"/>
        </w:pBdr>
        <w:spacing w:line="360" w:lineRule="auto"/>
        <w:jc w:val="center"/>
        <w:rPr>
          <w:rFonts w:ascii="黑体" w:hAnsi="黑体" w:eastAsia="黑体"/>
          <w:b/>
          <w:bCs/>
          <w:sz w:val="36"/>
          <w:szCs w:val="36"/>
        </w:rPr>
      </w:pPr>
      <w:r>
        <w:rPr>
          <w:rFonts w:hint="eastAsia" w:ascii="黑体" w:hAnsi="黑体" w:eastAsia="黑体"/>
          <w:b/>
          <w:bCs/>
          <w:sz w:val="36"/>
          <w:szCs w:val="36"/>
        </w:rPr>
        <w:t>V0.91</w:t>
      </w:r>
    </w:p>
    <w:p>
      <w:pPr>
        <w:pBdr>
          <w:bottom w:val="single" w:color="auto" w:sz="12" w:space="1"/>
        </w:pBdr>
        <w:spacing w:line="360" w:lineRule="auto"/>
        <w:jc w:val="center"/>
        <w:rPr>
          <w:rFonts w:ascii="黑体" w:hAnsi="黑体" w:eastAsia="黑体"/>
          <w:b/>
          <w:bCs/>
          <w:sz w:val="32"/>
          <w:szCs w:val="32"/>
        </w:rPr>
      </w:pPr>
    </w:p>
    <w:p>
      <w:pPr>
        <w:pBdr>
          <w:bottom w:val="single" w:color="auto" w:sz="12" w:space="1"/>
        </w:pBdr>
        <w:spacing w:line="360" w:lineRule="auto"/>
        <w:jc w:val="center"/>
        <w:rPr>
          <w:rFonts w:ascii="黑体" w:hAnsi="黑体" w:eastAsia="黑体"/>
          <w:b/>
          <w:bCs/>
          <w:sz w:val="32"/>
          <w:szCs w:val="32"/>
        </w:rPr>
      </w:pPr>
    </w:p>
    <w:p>
      <w:pPr>
        <w:pBdr>
          <w:bottom w:val="single" w:color="auto" w:sz="12" w:space="1"/>
        </w:pBdr>
        <w:spacing w:line="360" w:lineRule="auto"/>
        <w:jc w:val="center"/>
        <w:rPr>
          <w:rFonts w:ascii="黑体" w:hAnsi="黑体" w:eastAsia="黑体"/>
          <w:b/>
          <w:bCs/>
          <w:sz w:val="32"/>
          <w:szCs w:val="32"/>
        </w:rPr>
      </w:pPr>
    </w:p>
    <w:p>
      <w:pPr>
        <w:pBdr>
          <w:bottom w:val="single" w:color="auto" w:sz="12" w:space="1"/>
        </w:pBdr>
        <w:spacing w:line="360" w:lineRule="auto"/>
        <w:jc w:val="center"/>
        <w:rPr>
          <w:rFonts w:ascii="黑体" w:hAnsi="黑体" w:eastAsia="黑体"/>
          <w:b/>
          <w:bCs/>
          <w:sz w:val="32"/>
          <w:szCs w:val="32"/>
        </w:rPr>
      </w:pPr>
    </w:p>
    <w:p>
      <w:pPr>
        <w:pBdr>
          <w:bottom w:val="single" w:color="auto" w:sz="12" w:space="1"/>
        </w:pBdr>
        <w:spacing w:line="360" w:lineRule="auto"/>
        <w:jc w:val="center"/>
        <w:rPr>
          <w:rFonts w:ascii="黑体" w:hAnsi="黑体" w:eastAsia="黑体"/>
          <w:b/>
          <w:bCs/>
          <w:sz w:val="32"/>
          <w:szCs w:val="32"/>
        </w:rPr>
      </w:pPr>
    </w:p>
    <w:p>
      <w:pPr>
        <w:pBdr>
          <w:bottom w:val="single" w:color="auto" w:sz="12" w:space="1"/>
        </w:pBdr>
        <w:spacing w:line="360" w:lineRule="auto"/>
        <w:jc w:val="center"/>
        <w:rPr>
          <w:rFonts w:ascii="黑体" w:hAnsi="黑体" w:eastAsia="黑体"/>
          <w:b/>
          <w:bCs/>
          <w:sz w:val="32"/>
          <w:szCs w:val="32"/>
        </w:rPr>
      </w:pPr>
    </w:p>
    <w:p>
      <w:pPr>
        <w:pBdr>
          <w:bottom w:val="single" w:color="auto" w:sz="12" w:space="1"/>
        </w:pBdr>
        <w:spacing w:line="360" w:lineRule="auto"/>
        <w:jc w:val="center"/>
        <w:rPr>
          <w:rFonts w:ascii="黑体" w:hAnsi="黑体" w:eastAsia="黑体"/>
          <w:b/>
          <w:bCs/>
          <w:sz w:val="32"/>
          <w:szCs w:val="32"/>
        </w:rPr>
      </w:pPr>
    </w:p>
    <w:p>
      <w:pPr>
        <w:pBdr>
          <w:bottom w:val="single" w:color="auto" w:sz="12" w:space="1"/>
        </w:pBdr>
        <w:spacing w:line="360" w:lineRule="auto"/>
        <w:jc w:val="center"/>
        <w:rPr>
          <w:rFonts w:ascii="黑体" w:hAnsi="黑体" w:eastAsia="黑体"/>
          <w:b/>
          <w:bCs/>
          <w:sz w:val="32"/>
          <w:szCs w:val="32"/>
        </w:rPr>
      </w:pPr>
    </w:p>
    <w:p>
      <w:pPr>
        <w:pBdr>
          <w:bottom w:val="single" w:color="auto" w:sz="12" w:space="1"/>
        </w:pBdr>
        <w:spacing w:line="360" w:lineRule="auto"/>
        <w:jc w:val="center"/>
        <w:rPr>
          <w:rFonts w:ascii="黑体" w:hAnsi="黑体" w:eastAsia="黑体"/>
          <w:b/>
          <w:bCs/>
          <w:sz w:val="32"/>
          <w:szCs w:val="32"/>
        </w:rPr>
      </w:pPr>
    </w:p>
    <w:p>
      <w:pPr>
        <w:spacing w:line="360" w:lineRule="auto"/>
        <w:jc w:val="center"/>
        <w:rPr>
          <w:rFonts w:hAnsi="宋体"/>
          <w:b/>
        </w:rPr>
      </w:pPr>
    </w:p>
    <w:p>
      <w:pPr>
        <w:spacing w:line="360" w:lineRule="auto"/>
        <w:jc w:val="center"/>
        <w:rPr>
          <w:rFonts w:ascii="黑体" w:hAnsi="黑体" w:eastAsia="黑体"/>
          <w:b/>
          <w:bCs/>
          <w:sz w:val="32"/>
        </w:rPr>
      </w:pPr>
      <w:r>
        <w:rPr>
          <w:rFonts w:hint="eastAsia" w:ascii="黑体" w:hAnsi="黑体" w:eastAsia="黑体"/>
          <w:b/>
          <w:bCs/>
          <w:sz w:val="32"/>
        </w:rPr>
        <w:t>基础平台组</w:t>
      </w:r>
    </w:p>
    <w:p>
      <w:pPr>
        <w:spacing w:line="360" w:lineRule="auto"/>
        <w:jc w:val="center"/>
        <w:rPr>
          <w:rFonts w:ascii="黑体" w:hAnsi="黑体" w:eastAsia="黑体"/>
          <w:b/>
          <w:bCs/>
          <w:sz w:val="32"/>
        </w:rPr>
      </w:pPr>
      <w:r>
        <w:rPr>
          <w:rFonts w:hint="eastAsia" w:ascii="黑体" w:hAnsi="黑体" w:eastAsia="黑体"/>
          <w:b/>
          <w:bCs/>
          <w:sz w:val="32"/>
        </w:rPr>
        <w:t xml:space="preserve">2016年 </w:t>
      </w:r>
      <w:r>
        <w:rPr>
          <w:rFonts w:hint="eastAsia" w:ascii="黑体" w:hAnsi="黑体" w:eastAsia="黑体"/>
          <w:b/>
          <w:bCs/>
          <w:sz w:val="32"/>
          <w:lang w:val="en-US" w:eastAsia="zh-CN"/>
        </w:rPr>
        <w:t>8</w:t>
      </w:r>
      <w:r>
        <w:rPr>
          <w:rFonts w:hint="eastAsia" w:ascii="黑体" w:hAnsi="黑体" w:eastAsia="黑体"/>
          <w:b/>
          <w:bCs/>
          <w:sz w:val="32"/>
        </w:rPr>
        <w:t>月 5日</w:t>
      </w:r>
    </w:p>
    <w:p>
      <w:pPr>
        <w:spacing w:line="360" w:lineRule="auto"/>
        <w:rPr>
          <w:rFonts w:hAnsi="宋体"/>
          <w:color w:val="000000"/>
          <w:sz w:val="28"/>
          <w:szCs w:val="28"/>
        </w:rPr>
      </w:pPr>
    </w:p>
    <w:p>
      <w:pPr>
        <w:spacing w:after="78" w:line="360" w:lineRule="auto"/>
        <w:rPr>
          <w:rFonts w:hAnsi="宋体" w:cs="Lucida Sans"/>
          <w:b/>
          <w:sz w:val="28"/>
          <w:szCs w:val="28"/>
        </w:rPr>
      </w:pPr>
      <w:r>
        <w:rPr>
          <w:rFonts w:hint="eastAsia" w:hAnsi="宋体"/>
          <w:color w:val="000000"/>
          <w:sz w:val="28"/>
          <w:szCs w:val="28"/>
        </w:rPr>
        <w:br w:type="page"/>
      </w:r>
      <w:r>
        <w:rPr>
          <w:rFonts w:hint="eastAsia" w:hAnsi="宋体" w:cs="Lucida Sans"/>
          <w:b/>
          <w:sz w:val="28"/>
          <w:szCs w:val="28"/>
        </w:rPr>
        <w:t>文件信息</w:t>
      </w:r>
    </w:p>
    <w:tbl>
      <w:tblPr>
        <w:tblStyle w:val="21"/>
        <w:tblW w:w="9030" w:type="dxa"/>
        <w:tblInd w:w="108" w:type="dxa"/>
        <w:tblLayout w:type="fixed"/>
        <w:tblCellMar>
          <w:top w:w="0" w:type="dxa"/>
          <w:left w:w="108" w:type="dxa"/>
          <w:bottom w:w="0" w:type="dxa"/>
          <w:right w:w="108" w:type="dxa"/>
        </w:tblCellMar>
      </w:tblPr>
      <w:tblGrid>
        <w:gridCol w:w="1276"/>
        <w:gridCol w:w="7754"/>
      </w:tblGrid>
      <w:tr>
        <w:tblPrEx>
          <w:tblLayout w:type="fixed"/>
          <w:tblCellMar>
            <w:top w:w="0" w:type="dxa"/>
            <w:left w:w="108" w:type="dxa"/>
            <w:bottom w:w="0" w:type="dxa"/>
            <w:right w:w="108" w:type="dxa"/>
          </w:tblCellMar>
        </w:tblPrEx>
        <w:trPr>
          <w:cantSplit/>
          <w:trHeight w:val="525" w:hRule="exact"/>
        </w:trPr>
        <w:tc>
          <w:tcPr>
            <w:tcW w:w="1276"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b/>
                <w:szCs w:val="21"/>
              </w:rPr>
            </w:pPr>
            <w:r>
              <w:rPr>
                <w:rFonts w:hint="eastAsia" w:hAnsi="宋体" w:cs="Lucida Sans"/>
                <w:b/>
                <w:szCs w:val="21"/>
              </w:rPr>
              <w:t>标题</w:t>
            </w:r>
          </w:p>
        </w:tc>
        <w:tc>
          <w:tcPr>
            <w:tcW w:w="7754"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szCs w:val="21"/>
              </w:rPr>
            </w:pPr>
            <w:r>
              <w:rPr>
                <w:rFonts w:hint="eastAsia" w:hAnsi="宋体" w:cs="Lucida Sans"/>
                <w:szCs w:val="21"/>
              </w:rPr>
              <w:t>网络金融核心平台-关联系统改造说明书-柜面核心（清算）</w:t>
            </w:r>
          </w:p>
        </w:tc>
      </w:tr>
      <w:tr>
        <w:tblPrEx>
          <w:tblLayout w:type="fixed"/>
          <w:tblCellMar>
            <w:top w:w="0" w:type="dxa"/>
            <w:left w:w="108" w:type="dxa"/>
            <w:bottom w:w="0" w:type="dxa"/>
            <w:right w:w="108" w:type="dxa"/>
          </w:tblCellMar>
        </w:tblPrEx>
        <w:trPr>
          <w:cantSplit/>
          <w:trHeight w:val="418" w:hRule="exact"/>
        </w:trPr>
        <w:tc>
          <w:tcPr>
            <w:tcW w:w="1276"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b/>
                <w:szCs w:val="21"/>
              </w:rPr>
            </w:pPr>
            <w:r>
              <w:rPr>
                <w:rFonts w:hint="eastAsia" w:hAnsi="宋体" w:cs="Lucida Sans"/>
                <w:b/>
                <w:szCs w:val="21"/>
              </w:rPr>
              <w:t>文件名称</w:t>
            </w:r>
          </w:p>
        </w:tc>
        <w:tc>
          <w:tcPr>
            <w:tcW w:w="7754"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szCs w:val="21"/>
              </w:rPr>
            </w:pPr>
            <w:r>
              <w:fldChar w:fldCharType="begin"/>
            </w:r>
            <w:r>
              <w:instrText xml:space="preserve"> FILENAME \* MERGEFORMAT </w:instrText>
            </w:r>
            <w:r>
              <w:fldChar w:fldCharType="separate"/>
            </w:r>
            <w:r>
              <w:rPr>
                <w:rFonts w:hint="eastAsia" w:hAnsi="宋体" w:cs="Lucida Sans"/>
                <w:szCs w:val="21"/>
              </w:rPr>
              <w:t>网络金融核心平台-关联系统改造说明书-柜面核心（清算）_V0.91_20160</w:t>
            </w:r>
            <w:r>
              <w:rPr>
                <w:rFonts w:hint="eastAsia" w:hAnsi="宋体" w:cs="Lucida Sans"/>
                <w:szCs w:val="21"/>
                <w:lang w:val="en-US" w:eastAsia="zh-CN"/>
              </w:rPr>
              <w:t>8</w:t>
            </w:r>
            <w:r>
              <w:rPr>
                <w:rFonts w:hint="eastAsia" w:hAnsi="宋体" w:cs="Lucida Sans"/>
                <w:szCs w:val="21"/>
              </w:rPr>
              <w:t>05.doc</w:t>
            </w:r>
            <w:r>
              <w:rPr>
                <w:rFonts w:hint="eastAsia" w:hAnsi="宋体" w:cs="Lucida Sans"/>
                <w:szCs w:val="21"/>
              </w:rPr>
              <w:fldChar w:fldCharType="end"/>
            </w:r>
          </w:p>
        </w:tc>
      </w:tr>
      <w:tr>
        <w:tblPrEx>
          <w:tblLayout w:type="fixed"/>
          <w:tblCellMar>
            <w:top w:w="0" w:type="dxa"/>
            <w:left w:w="108" w:type="dxa"/>
            <w:bottom w:w="0" w:type="dxa"/>
            <w:right w:w="108" w:type="dxa"/>
          </w:tblCellMar>
        </w:tblPrEx>
        <w:trPr>
          <w:cantSplit/>
          <w:trHeight w:val="423" w:hRule="exact"/>
        </w:trPr>
        <w:tc>
          <w:tcPr>
            <w:tcW w:w="1276"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b/>
                <w:szCs w:val="21"/>
              </w:rPr>
            </w:pPr>
            <w:r>
              <w:rPr>
                <w:rFonts w:hint="eastAsia" w:hAnsi="宋体" w:cs="Lucida Sans"/>
                <w:b/>
                <w:szCs w:val="21"/>
              </w:rPr>
              <w:t>项目编号</w:t>
            </w:r>
          </w:p>
        </w:tc>
        <w:tc>
          <w:tcPr>
            <w:tcW w:w="7754"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szCs w:val="21"/>
              </w:rPr>
            </w:pPr>
            <w:r>
              <w:rPr>
                <w:rFonts w:hint="eastAsia" w:hAnsi="宋体" w:cs="Lucida Sans"/>
                <w:szCs w:val="21"/>
              </w:rPr>
              <w:t>XM0101</w:t>
            </w:r>
          </w:p>
        </w:tc>
      </w:tr>
      <w:tr>
        <w:tblPrEx>
          <w:tblLayout w:type="fixed"/>
          <w:tblCellMar>
            <w:top w:w="0" w:type="dxa"/>
            <w:left w:w="108" w:type="dxa"/>
            <w:bottom w:w="0" w:type="dxa"/>
            <w:right w:w="108" w:type="dxa"/>
          </w:tblCellMar>
        </w:tblPrEx>
        <w:trPr>
          <w:cantSplit/>
          <w:trHeight w:val="429" w:hRule="exact"/>
        </w:trPr>
        <w:tc>
          <w:tcPr>
            <w:tcW w:w="1276"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b/>
                <w:szCs w:val="21"/>
              </w:rPr>
            </w:pPr>
            <w:r>
              <w:rPr>
                <w:rFonts w:hint="eastAsia" w:hAnsi="宋体" w:cs="Lucida Sans"/>
                <w:b/>
                <w:szCs w:val="21"/>
              </w:rPr>
              <w:t>版本号</w:t>
            </w:r>
          </w:p>
        </w:tc>
        <w:tc>
          <w:tcPr>
            <w:tcW w:w="7754"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szCs w:val="21"/>
              </w:rPr>
            </w:pPr>
            <w:r>
              <w:rPr>
                <w:rFonts w:hint="eastAsia" w:hAnsi="宋体" w:cs="Lucida Sans"/>
                <w:szCs w:val="21"/>
              </w:rPr>
              <w:t>V0.91</w:t>
            </w:r>
          </w:p>
          <w:p>
            <w:pPr>
              <w:spacing w:after="78" w:line="360" w:lineRule="auto"/>
              <w:rPr>
                <w:rFonts w:hAnsi="宋体" w:cs="Lucida Sans"/>
                <w:szCs w:val="21"/>
              </w:rPr>
            </w:pPr>
          </w:p>
        </w:tc>
      </w:tr>
      <w:tr>
        <w:tblPrEx>
          <w:tblLayout w:type="fixed"/>
          <w:tblCellMar>
            <w:top w:w="0" w:type="dxa"/>
            <w:left w:w="108" w:type="dxa"/>
            <w:bottom w:w="0" w:type="dxa"/>
            <w:right w:w="108" w:type="dxa"/>
          </w:tblCellMar>
        </w:tblPrEx>
        <w:trPr>
          <w:cantSplit/>
          <w:trHeight w:val="369" w:hRule="exact"/>
        </w:trPr>
        <w:tc>
          <w:tcPr>
            <w:tcW w:w="1276"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b/>
                <w:szCs w:val="21"/>
              </w:rPr>
            </w:pPr>
            <w:r>
              <w:rPr>
                <w:rFonts w:hint="eastAsia" w:hAnsi="宋体" w:cs="Lucida Sans"/>
                <w:b/>
                <w:szCs w:val="21"/>
              </w:rPr>
              <w:t>版本日期</w:t>
            </w:r>
          </w:p>
        </w:tc>
        <w:tc>
          <w:tcPr>
            <w:tcW w:w="7754"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szCs w:val="21"/>
              </w:rPr>
            </w:pPr>
            <w:r>
              <w:rPr>
                <w:rFonts w:hint="eastAsia" w:hAnsi="宋体" w:cs="Lucida Sans"/>
                <w:szCs w:val="21"/>
              </w:rPr>
              <w:t>2016-</w:t>
            </w:r>
            <w:r>
              <w:rPr>
                <w:rFonts w:hint="eastAsia" w:hAnsi="宋体" w:cs="Lucida Sans"/>
                <w:szCs w:val="21"/>
                <w:lang w:val="en-US" w:eastAsia="zh-CN"/>
              </w:rPr>
              <w:t>8</w:t>
            </w:r>
            <w:r>
              <w:rPr>
                <w:rFonts w:hint="eastAsia" w:hAnsi="宋体" w:cs="Lucida Sans"/>
                <w:szCs w:val="21"/>
              </w:rPr>
              <w:t>-5</w:t>
            </w:r>
          </w:p>
        </w:tc>
      </w:tr>
      <w:tr>
        <w:tblPrEx>
          <w:tblLayout w:type="fixed"/>
          <w:tblCellMar>
            <w:top w:w="0" w:type="dxa"/>
            <w:left w:w="108" w:type="dxa"/>
            <w:bottom w:w="0" w:type="dxa"/>
            <w:right w:w="108" w:type="dxa"/>
          </w:tblCellMar>
        </w:tblPrEx>
        <w:trPr>
          <w:cantSplit/>
          <w:trHeight w:val="369" w:hRule="exact"/>
        </w:trPr>
        <w:tc>
          <w:tcPr>
            <w:tcW w:w="1276"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b/>
                <w:szCs w:val="21"/>
              </w:rPr>
            </w:pPr>
            <w:r>
              <w:rPr>
                <w:rFonts w:hint="eastAsia" w:hAnsi="宋体" w:cs="Lucida Sans"/>
                <w:b/>
                <w:szCs w:val="21"/>
              </w:rPr>
              <w:t>打印日期</w:t>
            </w:r>
          </w:p>
        </w:tc>
        <w:tc>
          <w:tcPr>
            <w:tcW w:w="7754"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szCs w:val="21"/>
              </w:rPr>
            </w:pPr>
          </w:p>
        </w:tc>
      </w:tr>
      <w:tr>
        <w:tblPrEx>
          <w:tblLayout w:type="fixed"/>
          <w:tblCellMar>
            <w:top w:w="0" w:type="dxa"/>
            <w:left w:w="108" w:type="dxa"/>
            <w:bottom w:w="0" w:type="dxa"/>
            <w:right w:w="108" w:type="dxa"/>
          </w:tblCellMar>
        </w:tblPrEx>
        <w:trPr>
          <w:cantSplit/>
          <w:trHeight w:val="369" w:hRule="exact"/>
        </w:trPr>
        <w:tc>
          <w:tcPr>
            <w:tcW w:w="1276"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b/>
                <w:szCs w:val="21"/>
              </w:rPr>
            </w:pPr>
            <w:r>
              <w:rPr>
                <w:rFonts w:hint="eastAsia" w:hAnsi="宋体" w:cs="Lucida Sans"/>
                <w:b/>
                <w:szCs w:val="21"/>
              </w:rPr>
              <w:t>存放目录</w:t>
            </w:r>
          </w:p>
        </w:tc>
        <w:tc>
          <w:tcPr>
            <w:tcW w:w="7754"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szCs w:val="21"/>
              </w:rPr>
            </w:pPr>
          </w:p>
        </w:tc>
      </w:tr>
      <w:tr>
        <w:tblPrEx>
          <w:tblLayout w:type="fixed"/>
          <w:tblCellMar>
            <w:top w:w="0" w:type="dxa"/>
            <w:left w:w="108" w:type="dxa"/>
            <w:bottom w:w="0" w:type="dxa"/>
            <w:right w:w="108" w:type="dxa"/>
          </w:tblCellMar>
        </w:tblPrEx>
        <w:trPr>
          <w:cantSplit/>
          <w:trHeight w:val="369" w:hRule="exact"/>
        </w:trPr>
        <w:tc>
          <w:tcPr>
            <w:tcW w:w="1276"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b/>
                <w:szCs w:val="21"/>
              </w:rPr>
            </w:pPr>
            <w:r>
              <w:rPr>
                <w:rFonts w:hint="eastAsia" w:hAnsi="宋体" w:cs="Lucida Sans"/>
                <w:b/>
                <w:szCs w:val="21"/>
              </w:rPr>
              <w:t>所有者</w:t>
            </w:r>
          </w:p>
        </w:tc>
        <w:tc>
          <w:tcPr>
            <w:tcW w:w="7754"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szCs w:val="21"/>
              </w:rPr>
            </w:pPr>
            <w:r>
              <w:rPr>
                <w:rFonts w:hint="eastAsia" w:hAnsi="宋体" w:cs="Lucida Sans"/>
                <w:szCs w:val="21"/>
              </w:rPr>
              <w:t>基础平台组</w:t>
            </w:r>
          </w:p>
        </w:tc>
      </w:tr>
      <w:tr>
        <w:tblPrEx>
          <w:tblLayout w:type="fixed"/>
          <w:tblCellMar>
            <w:top w:w="0" w:type="dxa"/>
            <w:left w:w="108" w:type="dxa"/>
            <w:bottom w:w="0" w:type="dxa"/>
            <w:right w:w="108" w:type="dxa"/>
          </w:tblCellMar>
        </w:tblPrEx>
        <w:trPr>
          <w:cantSplit/>
          <w:trHeight w:val="369" w:hRule="exact"/>
        </w:trPr>
        <w:tc>
          <w:tcPr>
            <w:tcW w:w="1276"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b/>
                <w:szCs w:val="21"/>
              </w:rPr>
            </w:pPr>
            <w:r>
              <w:rPr>
                <w:rFonts w:hint="eastAsia" w:hAnsi="宋体" w:cs="Lucida Sans"/>
                <w:b/>
                <w:szCs w:val="21"/>
              </w:rPr>
              <w:t>作者</w:t>
            </w:r>
          </w:p>
        </w:tc>
        <w:tc>
          <w:tcPr>
            <w:tcW w:w="7754" w:type="dxa"/>
            <w:tcBorders>
              <w:top w:val="single" w:color="auto" w:sz="6" w:space="0"/>
              <w:left w:val="single" w:color="auto" w:sz="6" w:space="0"/>
              <w:bottom w:val="single" w:color="auto" w:sz="6" w:space="0"/>
              <w:right w:val="single" w:color="auto" w:sz="6" w:space="0"/>
            </w:tcBorders>
            <w:vAlign w:val="center"/>
          </w:tcPr>
          <w:p>
            <w:pPr>
              <w:spacing w:after="78" w:line="360" w:lineRule="auto"/>
              <w:rPr>
                <w:rFonts w:hAnsi="宋体" w:cs="Lucida Sans"/>
                <w:szCs w:val="21"/>
              </w:rPr>
            </w:pPr>
            <w:r>
              <w:rPr>
                <w:rFonts w:hint="eastAsia" w:hAnsi="宋体" w:cs="Lucida Sans"/>
                <w:szCs w:val="21"/>
              </w:rPr>
              <w:t>陈敏、范淑艳、吴中莹</w:t>
            </w:r>
          </w:p>
          <w:p>
            <w:pPr>
              <w:spacing w:after="78" w:line="360" w:lineRule="auto"/>
              <w:rPr>
                <w:rFonts w:hAnsi="宋体" w:cs="Lucida Sans"/>
                <w:szCs w:val="21"/>
              </w:rPr>
            </w:pPr>
          </w:p>
          <w:p>
            <w:pPr>
              <w:spacing w:after="78" w:line="360" w:lineRule="auto"/>
              <w:rPr>
                <w:rFonts w:hAnsi="宋体" w:cs="Lucida Sans"/>
                <w:szCs w:val="21"/>
              </w:rPr>
            </w:pPr>
          </w:p>
          <w:p>
            <w:pPr>
              <w:spacing w:after="78" w:line="360" w:lineRule="auto"/>
              <w:rPr>
                <w:rFonts w:hAnsi="宋体" w:cs="Lucida Sans"/>
                <w:szCs w:val="21"/>
              </w:rPr>
            </w:pPr>
          </w:p>
        </w:tc>
      </w:tr>
    </w:tbl>
    <w:p>
      <w:pPr>
        <w:spacing w:line="360" w:lineRule="auto"/>
        <w:jc w:val="center"/>
        <w:rPr>
          <w:rFonts w:hAnsi="宋体"/>
          <w:b/>
          <w:sz w:val="28"/>
          <w:szCs w:val="28"/>
        </w:rPr>
      </w:pPr>
    </w:p>
    <w:p>
      <w:pPr>
        <w:spacing w:line="360" w:lineRule="auto"/>
        <w:jc w:val="center"/>
        <w:rPr>
          <w:rFonts w:hAnsi="宋体"/>
          <w:b/>
          <w:sz w:val="28"/>
          <w:szCs w:val="28"/>
        </w:rPr>
      </w:pPr>
      <w:r>
        <w:rPr>
          <w:rFonts w:hint="eastAsia" w:hAnsi="宋体"/>
          <w:b/>
          <w:sz w:val="28"/>
          <w:szCs w:val="28"/>
        </w:rPr>
        <w:t>修改记录</w:t>
      </w:r>
    </w:p>
    <w:tbl>
      <w:tblPr>
        <w:tblStyle w:val="21"/>
        <w:tblW w:w="9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110"/>
        <w:gridCol w:w="2850"/>
        <w:gridCol w:w="900"/>
        <w:gridCol w:w="1080"/>
        <w:gridCol w:w="90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8" w:hRule="atLeast"/>
          <w:jc w:val="center"/>
        </w:trPr>
        <w:tc>
          <w:tcPr>
            <w:tcW w:w="720" w:type="dxa"/>
            <w:vAlign w:val="bottom"/>
          </w:tcPr>
          <w:p>
            <w:pPr>
              <w:pStyle w:val="33"/>
              <w:rPr>
                <w:rFonts w:hAnsi="宋体"/>
              </w:rPr>
            </w:pPr>
            <w:r>
              <w:rPr>
                <w:rFonts w:hint="eastAsia" w:hAnsi="宋体"/>
              </w:rPr>
              <w:t>编号</w:t>
            </w:r>
          </w:p>
        </w:tc>
        <w:tc>
          <w:tcPr>
            <w:tcW w:w="1110" w:type="dxa"/>
            <w:vAlign w:val="bottom"/>
          </w:tcPr>
          <w:p>
            <w:pPr>
              <w:pStyle w:val="33"/>
              <w:rPr>
                <w:rFonts w:hAnsi="宋体"/>
              </w:rPr>
            </w:pPr>
            <w:r>
              <w:rPr>
                <w:rFonts w:hint="eastAsia" w:hAnsi="宋体"/>
              </w:rPr>
              <w:t>日期</w:t>
            </w:r>
          </w:p>
        </w:tc>
        <w:tc>
          <w:tcPr>
            <w:tcW w:w="2850" w:type="dxa"/>
            <w:vAlign w:val="bottom"/>
          </w:tcPr>
          <w:p>
            <w:pPr>
              <w:pStyle w:val="33"/>
              <w:rPr>
                <w:rFonts w:hAnsi="宋体"/>
              </w:rPr>
            </w:pPr>
            <w:r>
              <w:rPr>
                <w:rFonts w:hint="eastAsia" w:hAnsi="宋体"/>
              </w:rPr>
              <w:t>描述</w:t>
            </w:r>
          </w:p>
        </w:tc>
        <w:tc>
          <w:tcPr>
            <w:tcW w:w="900" w:type="dxa"/>
            <w:vAlign w:val="bottom"/>
          </w:tcPr>
          <w:p>
            <w:pPr>
              <w:pStyle w:val="33"/>
              <w:rPr>
                <w:rFonts w:hAnsi="宋体"/>
              </w:rPr>
            </w:pPr>
            <w:r>
              <w:rPr>
                <w:rFonts w:hint="eastAsia" w:hAnsi="宋体"/>
              </w:rPr>
              <w:t>版本</w:t>
            </w:r>
          </w:p>
        </w:tc>
        <w:tc>
          <w:tcPr>
            <w:tcW w:w="1080" w:type="dxa"/>
            <w:vAlign w:val="bottom"/>
          </w:tcPr>
          <w:p>
            <w:pPr>
              <w:pStyle w:val="33"/>
              <w:rPr>
                <w:rFonts w:hAnsi="宋体"/>
              </w:rPr>
            </w:pPr>
            <w:r>
              <w:rPr>
                <w:rFonts w:hint="eastAsia" w:hAnsi="宋体"/>
              </w:rPr>
              <w:t>作者</w:t>
            </w:r>
          </w:p>
        </w:tc>
        <w:tc>
          <w:tcPr>
            <w:tcW w:w="900" w:type="dxa"/>
            <w:vAlign w:val="bottom"/>
          </w:tcPr>
          <w:p>
            <w:pPr>
              <w:pStyle w:val="33"/>
              <w:rPr>
                <w:rFonts w:hAnsi="宋体"/>
              </w:rPr>
            </w:pPr>
            <w:r>
              <w:rPr>
                <w:rFonts w:hint="eastAsia" w:hAnsi="宋体"/>
              </w:rPr>
              <w:t>审核</w:t>
            </w:r>
          </w:p>
        </w:tc>
        <w:tc>
          <w:tcPr>
            <w:tcW w:w="1620" w:type="dxa"/>
            <w:vAlign w:val="bottom"/>
          </w:tcPr>
          <w:p>
            <w:pPr>
              <w:pStyle w:val="33"/>
              <w:rPr>
                <w:rFonts w:hAnsi="宋体"/>
              </w:rPr>
            </w:pPr>
            <w:r>
              <w:rPr>
                <w:rFonts w:hint="eastAsia" w:hAnsi="宋体"/>
              </w:rPr>
              <w:t>发布日期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0" w:hRule="atLeast"/>
          <w:jc w:val="center"/>
        </w:trPr>
        <w:tc>
          <w:tcPr>
            <w:tcW w:w="720" w:type="dxa"/>
            <w:vAlign w:val="center"/>
          </w:tcPr>
          <w:p>
            <w:pPr>
              <w:pStyle w:val="33"/>
              <w:rPr>
                <w:rFonts w:hAnsi="宋体"/>
              </w:rPr>
            </w:pPr>
            <w:r>
              <w:rPr>
                <w:rFonts w:hint="eastAsia" w:hAnsi="宋体"/>
              </w:rPr>
              <w:t>1</w:t>
            </w:r>
          </w:p>
        </w:tc>
        <w:tc>
          <w:tcPr>
            <w:tcW w:w="1110" w:type="dxa"/>
            <w:vAlign w:val="center"/>
          </w:tcPr>
          <w:p>
            <w:pPr>
              <w:pStyle w:val="33"/>
              <w:rPr>
                <w:rFonts w:hAnsi="宋体"/>
              </w:rPr>
            </w:pPr>
            <w:r>
              <w:rPr>
                <w:rFonts w:hint="eastAsia" w:hAnsi="宋体"/>
              </w:rPr>
              <w:t>20160802</w:t>
            </w:r>
          </w:p>
        </w:tc>
        <w:tc>
          <w:tcPr>
            <w:tcW w:w="2850" w:type="dxa"/>
            <w:vAlign w:val="center"/>
          </w:tcPr>
          <w:p>
            <w:pPr>
              <w:pStyle w:val="33"/>
              <w:rPr>
                <w:rFonts w:hAnsi="宋体"/>
              </w:rPr>
            </w:pPr>
            <w:r>
              <w:rPr>
                <w:rFonts w:hint="eastAsia" w:hAnsi="宋体"/>
              </w:rPr>
              <w:t>基本原则</w:t>
            </w:r>
          </w:p>
        </w:tc>
        <w:tc>
          <w:tcPr>
            <w:tcW w:w="900" w:type="dxa"/>
            <w:vAlign w:val="center"/>
          </w:tcPr>
          <w:p>
            <w:pPr>
              <w:spacing w:after="78" w:line="360" w:lineRule="auto"/>
              <w:rPr>
                <w:rFonts w:hAnsi="宋体" w:cs="Lucida Sans"/>
                <w:szCs w:val="21"/>
              </w:rPr>
            </w:pPr>
            <w:r>
              <w:rPr>
                <w:rFonts w:hint="eastAsia" w:hAnsi="宋体" w:cs="Lucida Sans"/>
                <w:szCs w:val="21"/>
              </w:rPr>
              <w:t>V0.91</w:t>
            </w:r>
          </w:p>
        </w:tc>
        <w:tc>
          <w:tcPr>
            <w:tcW w:w="1080" w:type="dxa"/>
            <w:vAlign w:val="center"/>
          </w:tcPr>
          <w:p>
            <w:pPr>
              <w:pStyle w:val="33"/>
              <w:rPr>
                <w:rFonts w:hAnsi="宋体"/>
              </w:rPr>
            </w:pPr>
            <w:r>
              <w:rPr>
                <w:rFonts w:hint="eastAsia" w:hAnsi="宋体"/>
              </w:rPr>
              <w:t>吴中莹</w:t>
            </w:r>
          </w:p>
        </w:tc>
        <w:tc>
          <w:tcPr>
            <w:tcW w:w="900" w:type="dxa"/>
            <w:vAlign w:val="center"/>
          </w:tcPr>
          <w:p>
            <w:pPr>
              <w:pStyle w:val="33"/>
              <w:rPr>
                <w:rFonts w:hAnsi="宋体"/>
              </w:rPr>
            </w:pPr>
            <w:r>
              <w:rPr>
                <w:rFonts w:hint="eastAsia" w:hAnsi="宋体"/>
              </w:rPr>
              <w:t>陈敏</w:t>
            </w:r>
          </w:p>
        </w:tc>
        <w:tc>
          <w:tcPr>
            <w:tcW w:w="1620" w:type="dxa"/>
            <w:vAlign w:val="center"/>
          </w:tcPr>
          <w:p>
            <w:pPr>
              <w:pStyle w:val="33"/>
              <w:rPr>
                <w:rFonts w:hAnsi="宋体"/>
              </w:rPr>
            </w:pPr>
            <w:r>
              <w:rPr>
                <w:rFonts w:hint="eastAsia" w:hAnsi="宋体"/>
              </w:rPr>
              <w:t>20160803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0" w:hRule="atLeast"/>
          <w:jc w:val="center"/>
        </w:trPr>
        <w:tc>
          <w:tcPr>
            <w:tcW w:w="720" w:type="dxa"/>
            <w:vAlign w:val="center"/>
          </w:tcPr>
          <w:p>
            <w:pPr>
              <w:pStyle w:val="33"/>
              <w:rPr>
                <w:rFonts w:hAnsi="宋体"/>
              </w:rPr>
            </w:pPr>
            <w:r>
              <w:rPr>
                <w:rFonts w:hint="eastAsia" w:hAnsi="宋体"/>
              </w:rPr>
              <w:t>2</w:t>
            </w:r>
          </w:p>
        </w:tc>
        <w:tc>
          <w:tcPr>
            <w:tcW w:w="1110" w:type="dxa"/>
            <w:vAlign w:val="center"/>
          </w:tcPr>
          <w:p>
            <w:pPr>
              <w:pStyle w:val="33"/>
              <w:rPr>
                <w:rFonts w:hAnsi="宋体"/>
              </w:rPr>
            </w:pPr>
            <w:r>
              <w:rPr>
                <w:rFonts w:hint="eastAsia" w:hAnsi="宋体"/>
              </w:rPr>
              <w:t>20160802</w:t>
            </w:r>
          </w:p>
        </w:tc>
        <w:tc>
          <w:tcPr>
            <w:tcW w:w="2850" w:type="dxa"/>
            <w:vAlign w:val="center"/>
          </w:tcPr>
          <w:p>
            <w:pPr>
              <w:pStyle w:val="33"/>
              <w:rPr>
                <w:rFonts w:hAnsi="宋体"/>
              </w:rPr>
            </w:pPr>
            <w:r>
              <w:rPr>
                <w:rFonts w:hint="eastAsia" w:hAnsi="宋体"/>
              </w:rPr>
              <w:t>账户设立</w:t>
            </w:r>
          </w:p>
        </w:tc>
        <w:tc>
          <w:tcPr>
            <w:tcW w:w="900" w:type="dxa"/>
            <w:vAlign w:val="center"/>
          </w:tcPr>
          <w:p>
            <w:pPr>
              <w:spacing w:after="78" w:line="360" w:lineRule="auto"/>
              <w:rPr>
                <w:rFonts w:hAnsi="宋体" w:cs="Lucida Sans"/>
                <w:szCs w:val="21"/>
              </w:rPr>
            </w:pPr>
            <w:r>
              <w:rPr>
                <w:rFonts w:hint="eastAsia" w:hAnsi="宋体" w:cs="Lucida Sans"/>
                <w:szCs w:val="21"/>
              </w:rPr>
              <w:t>V0.91</w:t>
            </w:r>
          </w:p>
        </w:tc>
        <w:tc>
          <w:tcPr>
            <w:tcW w:w="1080" w:type="dxa"/>
            <w:vAlign w:val="center"/>
          </w:tcPr>
          <w:p>
            <w:pPr>
              <w:pStyle w:val="33"/>
              <w:rPr>
                <w:rFonts w:hAnsi="宋体"/>
              </w:rPr>
            </w:pPr>
            <w:r>
              <w:rPr>
                <w:rFonts w:hint="eastAsia" w:hAnsi="宋体"/>
              </w:rPr>
              <w:t>吴中莹</w:t>
            </w:r>
          </w:p>
        </w:tc>
        <w:tc>
          <w:tcPr>
            <w:tcW w:w="900" w:type="dxa"/>
            <w:vAlign w:val="center"/>
          </w:tcPr>
          <w:p>
            <w:pPr>
              <w:pStyle w:val="33"/>
              <w:rPr>
                <w:rFonts w:hAnsi="宋体"/>
              </w:rPr>
            </w:pPr>
            <w:r>
              <w:rPr>
                <w:rFonts w:hint="eastAsia" w:hAnsi="宋体"/>
              </w:rPr>
              <w:t>陈敏</w:t>
            </w:r>
          </w:p>
        </w:tc>
        <w:tc>
          <w:tcPr>
            <w:tcW w:w="1620" w:type="dxa"/>
            <w:vAlign w:val="center"/>
          </w:tcPr>
          <w:p>
            <w:pPr>
              <w:pStyle w:val="33"/>
              <w:rPr>
                <w:rFonts w:hAnsi="宋体"/>
              </w:rPr>
            </w:pPr>
            <w:r>
              <w:rPr>
                <w:rFonts w:hint="eastAsia" w:hAnsi="宋体"/>
              </w:rPr>
              <w:t>20160803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0" w:hRule="atLeast"/>
          <w:jc w:val="center"/>
        </w:trPr>
        <w:tc>
          <w:tcPr>
            <w:tcW w:w="720" w:type="dxa"/>
            <w:vAlign w:val="center"/>
          </w:tcPr>
          <w:p>
            <w:pPr>
              <w:pStyle w:val="33"/>
              <w:rPr>
                <w:rFonts w:hAnsi="宋体"/>
              </w:rPr>
            </w:pPr>
            <w:r>
              <w:rPr>
                <w:rFonts w:hint="eastAsia" w:hAnsi="宋体"/>
              </w:rPr>
              <w:t>3</w:t>
            </w:r>
          </w:p>
        </w:tc>
        <w:tc>
          <w:tcPr>
            <w:tcW w:w="1110" w:type="dxa"/>
            <w:vAlign w:val="center"/>
          </w:tcPr>
          <w:p>
            <w:pPr>
              <w:pStyle w:val="33"/>
              <w:rPr>
                <w:rFonts w:hAnsi="宋体"/>
              </w:rPr>
            </w:pPr>
            <w:r>
              <w:rPr>
                <w:rFonts w:hint="eastAsia" w:hAnsi="宋体"/>
              </w:rPr>
              <w:t>20160802</w:t>
            </w:r>
          </w:p>
        </w:tc>
        <w:tc>
          <w:tcPr>
            <w:tcW w:w="2850" w:type="dxa"/>
            <w:vAlign w:val="center"/>
          </w:tcPr>
          <w:p>
            <w:pPr>
              <w:pStyle w:val="33"/>
              <w:rPr>
                <w:rFonts w:hAnsi="宋体"/>
              </w:rPr>
            </w:pPr>
            <w:r>
              <w:rPr>
                <w:rFonts w:hint="eastAsia" w:hAnsi="宋体"/>
              </w:rPr>
              <w:t>清算模式</w:t>
            </w:r>
          </w:p>
        </w:tc>
        <w:tc>
          <w:tcPr>
            <w:tcW w:w="900" w:type="dxa"/>
            <w:vAlign w:val="center"/>
          </w:tcPr>
          <w:p>
            <w:pPr>
              <w:spacing w:after="78" w:line="360" w:lineRule="auto"/>
              <w:rPr>
                <w:rFonts w:hAnsi="宋体" w:cs="Lucida Sans"/>
                <w:szCs w:val="21"/>
              </w:rPr>
            </w:pPr>
            <w:r>
              <w:rPr>
                <w:rFonts w:hint="eastAsia" w:hAnsi="宋体" w:cs="Lucida Sans"/>
                <w:szCs w:val="21"/>
              </w:rPr>
              <w:t>V0.91</w:t>
            </w:r>
          </w:p>
        </w:tc>
        <w:tc>
          <w:tcPr>
            <w:tcW w:w="1080" w:type="dxa"/>
            <w:vAlign w:val="center"/>
          </w:tcPr>
          <w:p>
            <w:pPr>
              <w:pStyle w:val="33"/>
              <w:rPr>
                <w:rFonts w:hAnsi="宋体"/>
              </w:rPr>
            </w:pPr>
            <w:r>
              <w:rPr>
                <w:rFonts w:hint="eastAsia" w:hAnsi="宋体"/>
              </w:rPr>
              <w:t>吴中莹</w:t>
            </w:r>
          </w:p>
        </w:tc>
        <w:tc>
          <w:tcPr>
            <w:tcW w:w="900" w:type="dxa"/>
            <w:vAlign w:val="center"/>
          </w:tcPr>
          <w:p>
            <w:pPr>
              <w:pStyle w:val="33"/>
              <w:rPr>
                <w:rFonts w:hAnsi="宋体"/>
              </w:rPr>
            </w:pPr>
            <w:r>
              <w:rPr>
                <w:rFonts w:hint="eastAsia" w:hAnsi="宋体"/>
              </w:rPr>
              <w:t>陈敏</w:t>
            </w:r>
          </w:p>
        </w:tc>
        <w:tc>
          <w:tcPr>
            <w:tcW w:w="1620" w:type="dxa"/>
            <w:vAlign w:val="center"/>
          </w:tcPr>
          <w:p>
            <w:pPr>
              <w:pStyle w:val="33"/>
              <w:rPr>
                <w:rFonts w:hAnsi="宋体"/>
              </w:rPr>
            </w:pPr>
            <w:r>
              <w:rPr>
                <w:rFonts w:hint="eastAsia" w:hAnsi="宋体"/>
              </w:rPr>
              <w:t>20160803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0" w:hRule="atLeast"/>
          <w:jc w:val="center"/>
        </w:trPr>
        <w:tc>
          <w:tcPr>
            <w:tcW w:w="720" w:type="dxa"/>
            <w:vAlign w:val="center"/>
          </w:tcPr>
          <w:p>
            <w:pPr>
              <w:pStyle w:val="33"/>
              <w:rPr>
                <w:rFonts w:hAnsi="宋体"/>
              </w:rPr>
            </w:pPr>
          </w:p>
        </w:tc>
        <w:tc>
          <w:tcPr>
            <w:tcW w:w="1110" w:type="dxa"/>
            <w:vAlign w:val="center"/>
          </w:tcPr>
          <w:p>
            <w:pPr>
              <w:pStyle w:val="33"/>
              <w:rPr>
                <w:rFonts w:hAnsi="宋体"/>
              </w:rPr>
            </w:pPr>
          </w:p>
        </w:tc>
        <w:tc>
          <w:tcPr>
            <w:tcW w:w="2850" w:type="dxa"/>
            <w:vAlign w:val="center"/>
          </w:tcPr>
          <w:p>
            <w:pPr>
              <w:pStyle w:val="33"/>
              <w:rPr>
                <w:rFonts w:hAnsi="宋体"/>
              </w:rPr>
            </w:pPr>
          </w:p>
        </w:tc>
        <w:tc>
          <w:tcPr>
            <w:tcW w:w="900" w:type="dxa"/>
            <w:vAlign w:val="center"/>
          </w:tcPr>
          <w:p>
            <w:pPr>
              <w:pStyle w:val="33"/>
              <w:rPr>
                <w:rFonts w:hAnsi="宋体"/>
              </w:rPr>
            </w:pPr>
          </w:p>
        </w:tc>
        <w:tc>
          <w:tcPr>
            <w:tcW w:w="1080" w:type="dxa"/>
            <w:vAlign w:val="center"/>
          </w:tcPr>
          <w:p>
            <w:pPr>
              <w:pStyle w:val="33"/>
              <w:rPr>
                <w:rFonts w:hAnsi="宋体"/>
              </w:rPr>
            </w:pPr>
          </w:p>
        </w:tc>
        <w:tc>
          <w:tcPr>
            <w:tcW w:w="900" w:type="dxa"/>
            <w:vAlign w:val="center"/>
          </w:tcPr>
          <w:p>
            <w:pPr>
              <w:pStyle w:val="33"/>
              <w:rPr>
                <w:rFonts w:hAnsi="宋体"/>
              </w:rPr>
            </w:pPr>
          </w:p>
        </w:tc>
        <w:tc>
          <w:tcPr>
            <w:tcW w:w="1620" w:type="dxa"/>
            <w:vAlign w:val="center"/>
          </w:tcPr>
          <w:p>
            <w:pPr>
              <w:pStyle w:val="33"/>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0" w:hRule="atLeast"/>
          <w:jc w:val="center"/>
        </w:trPr>
        <w:tc>
          <w:tcPr>
            <w:tcW w:w="720" w:type="dxa"/>
            <w:vAlign w:val="center"/>
          </w:tcPr>
          <w:p>
            <w:pPr>
              <w:pStyle w:val="33"/>
              <w:rPr>
                <w:rFonts w:hAnsi="宋体"/>
              </w:rPr>
            </w:pPr>
          </w:p>
        </w:tc>
        <w:tc>
          <w:tcPr>
            <w:tcW w:w="1110" w:type="dxa"/>
            <w:vAlign w:val="center"/>
          </w:tcPr>
          <w:p>
            <w:pPr>
              <w:pStyle w:val="33"/>
              <w:rPr>
                <w:rFonts w:hAnsi="宋体"/>
              </w:rPr>
            </w:pPr>
          </w:p>
        </w:tc>
        <w:tc>
          <w:tcPr>
            <w:tcW w:w="2850" w:type="dxa"/>
            <w:vAlign w:val="center"/>
          </w:tcPr>
          <w:p>
            <w:pPr>
              <w:pStyle w:val="33"/>
              <w:rPr>
                <w:rFonts w:hAnsi="宋体"/>
              </w:rPr>
            </w:pPr>
          </w:p>
        </w:tc>
        <w:tc>
          <w:tcPr>
            <w:tcW w:w="900" w:type="dxa"/>
            <w:vAlign w:val="center"/>
          </w:tcPr>
          <w:p>
            <w:pPr>
              <w:pStyle w:val="33"/>
              <w:rPr>
                <w:rFonts w:hAnsi="宋体"/>
              </w:rPr>
            </w:pPr>
          </w:p>
        </w:tc>
        <w:tc>
          <w:tcPr>
            <w:tcW w:w="1080" w:type="dxa"/>
            <w:vAlign w:val="center"/>
          </w:tcPr>
          <w:p>
            <w:pPr>
              <w:pStyle w:val="33"/>
              <w:rPr>
                <w:rFonts w:hAnsi="宋体"/>
              </w:rPr>
            </w:pPr>
          </w:p>
        </w:tc>
        <w:tc>
          <w:tcPr>
            <w:tcW w:w="900" w:type="dxa"/>
            <w:vAlign w:val="center"/>
          </w:tcPr>
          <w:p>
            <w:pPr>
              <w:pStyle w:val="33"/>
              <w:rPr>
                <w:rFonts w:hAnsi="宋体"/>
              </w:rPr>
            </w:pPr>
          </w:p>
        </w:tc>
        <w:tc>
          <w:tcPr>
            <w:tcW w:w="1620" w:type="dxa"/>
            <w:vAlign w:val="center"/>
          </w:tcPr>
          <w:p>
            <w:pPr>
              <w:pStyle w:val="33"/>
              <w:rPr>
                <w:rFonts w:hAnsi="宋体"/>
              </w:rPr>
            </w:pPr>
          </w:p>
        </w:tc>
      </w:tr>
    </w:tbl>
    <w:p>
      <w:pPr>
        <w:rPr>
          <w:sz w:val="32"/>
        </w:rPr>
      </w:pPr>
    </w:p>
    <w:p>
      <w:pPr>
        <w:widowControl/>
        <w:jc w:val="left"/>
        <w:rPr>
          <w:sz w:val="32"/>
        </w:rPr>
      </w:pPr>
      <w:r>
        <w:rPr>
          <w:sz w:val="32"/>
        </w:rPr>
        <w:br w:type="page"/>
      </w:r>
    </w:p>
    <w:p>
      <w:pPr>
        <w:pStyle w:val="2"/>
        <w:rPr>
          <w:sz w:val="32"/>
          <w:szCs w:val="32"/>
        </w:rPr>
      </w:pPr>
      <w:r>
        <w:rPr>
          <w:rFonts w:hint="eastAsia"/>
          <w:sz w:val="32"/>
          <w:szCs w:val="32"/>
        </w:rPr>
        <w:t>概述</w:t>
      </w:r>
    </w:p>
    <w:p>
      <w:pPr>
        <w:pStyle w:val="4"/>
      </w:pPr>
      <w:r>
        <w:rPr>
          <w:rFonts w:hint="eastAsia"/>
        </w:rPr>
        <w:t>基本定义</w:t>
      </w:r>
    </w:p>
    <w:p>
      <w:pPr>
        <w:spacing w:line="360" w:lineRule="auto"/>
        <w:ind w:firstLine="480" w:firstLineChars="200"/>
        <w:rPr>
          <w:sz w:val="24"/>
          <w:szCs w:val="24"/>
        </w:rPr>
      </w:pPr>
      <w:r>
        <w:rPr>
          <w:rFonts w:hint="eastAsia"/>
          <w:sz w:val="24"/>
          <w:szCs w:val="24"/>
        </w:rPr>
        <w:t>本需求所述的清算是指涉及网络金融核心（简称网络核心）相关交易的资金清算，包括网络核心系统内的交易、网络核心与柜面核心交易、网络核心与信用卡核心交易，以及各支付系统清算渠道涉及网络核心账户等相关交易的资金清算。各支付系统涉及网络核心处理相关的运行时序、资金清算须遵循本需求规定。</w:t>
      </w:r>
    </w:p>
    <w:p>
      <w:pPr>
        <w:spacing w:line="360" w:lineRule="auto"/>
        <w:ind w:firstLine="480" w:firstLineChars="200"/>
        <w:rPr>
          <w:sz w:val="24"/>
          <w:szCs w:val="24"/>
        </w:rPr>
      </w:pPr>
      <w:r>
        <w:rPr>
          <w:rFonts w:hint="eastAsia"/>
          <w:sz w:val="24"/>
          <w:szCs w:val="24"/>
        </w:rPr>
        <w:t>涉及资金交易的结算处理、各系统间的对账及差错调整由各支付系统发起负责。</w:t>
      </w:r>
    </w:p>
    <w:p>
      <w:pPr>
        <w:spacing w:line="360" w:lineRule="auto"/>
        <w:ind w:firstLine="480" w:firstLineChars="200"/>
        <w:rPr>
          <w:sz w:val="24"/>
          <w:szCs w:val="24"/>
        </w:rPr>
      </w:pPr>
      <w:r>
        <w:rPr>
          <w:rFonts w:hint="eastAsia"/>
          <w:sz w:val="24"/>
          <w:szCs w:val="24"/>
        </w:rPr>
        <w:t>其中：柜面核心指基于AS400目前生产运行的核心系统；信用卡核心指基于银联数据搭建的信用卡核心系统。</w:t>
      </w:r>
    </w:p>
    <w:p>
      <w:pPr>
        <w:pStyle w:val="4"/>
      </w:pPr>
      <w:r>
        <w:rPr>
          <w:rFonts w:hint="eastAsia"/>
        </w:rPr>
        <w:t>基本原则</w:t>
      </w:r>
    </w:p>
    <w:p>
      <w:pPr>
        <w:spacing w:line="360" w:lineRule="auto"/>
        <w:ind w:firstLine="480" w:firstLineChars="200"/>
        <w:rPr>
          <w:sz w:val="24"/>
          <w:szCs w:val="24"/>
        </w:rPr>
      </w:pPr>
      <w:r>
        <w:rPr>
          <w:rFonts w:hint="eastAsia"/>
          <w:sz w:val="24"/>
          <w:szCs w:val="24"/>
        </w:rPr>
        <w:t>一、网络核心不设清算账户</w:t>
      </w:r>
    </w:p>
    <w:p>
      <w:pPr>
        <w:spacing w:line="360" w:lineRule="auto"/>
        <w:ind w:firstLine="480" w:firstLineChars="200"/>
        <w:rPr>
          <w:sz w:val="24"/>
          <w:szCs w:val="24"/>
        </w:rPr>
      </w:pPr>
      <w:r>
        <w:rPr>
          <w:rFonts w:hint="eastAsia"/>
          <w:sz w:val="24"/>
          <w:szCs w:val="24"/>
        </w:rPr>
        <w:t>网络核心不设立清算账户。涉及省县两级、行社间、以及行社内部跨核心的交易均通过过渡账户处理，并定时发送柜面核心完成清算。仅涉及网络核心行社内交易，不进行清算处理。</w:t>
      </w:r>
    </w:p>
    <w:p>
      <w:pPr>
        <w:spacing w:line="360" w:lineRule="auto"/>
        <w:ind w:firstLine="480" w:firstLineChars="200"/>
        <w:rPr>
          <w:sz w:val="24"/>
          <w:szCs w:val="24"/>
        </w:rPr>
      </w:pPr>
      <w:r>
        <w:rPr>
          <w:rFonts w:hint="eastAsia"/>
          <w:sz w:val="24"/>
          <w:szCs w:val="24"/>
        </w:rPr>
        <w:t>二、各核心系统依托柜面核心清算体系完成资金清算处理</w:t>
      </w:r>
    </w:p>
    <w:p>
      <w:pPr>
        <w:spacing w:line="360" w:lineRule="auto"/>
        <w:ind w:firstLine="480" w:firstLineChars="200"/>
        <w:rPr>
          <w:sz w:val="24"/>
          <w:szCs w:val="24"/>
        </w:rPr>
      </w:pPr>
      <w:r>
        <w:rPr>
          <w:rFonts w:hint="eastAsia"/>
          <w:sz w:val="24"/>
          <w:szCs w:val="24"/>
        </w:rPr>
        <w:t>网络核心、信用卡核心分别负责交易清算数据的统计，定时提交清算数据至柜面核心完成清算；柜面核心交易实时完成清算，无需统计清算数据提交清算。</w:t>
      </w:r>
    </w:p>
    <w:p>
      <w:pPr>
        <w:spacing w:line="360" w:lineRule="auto"/>
        <w:ind w:firstLine="480" w:firstLineChars="200"/>
        <w:rPr>
          <w:sz w:val="24"/>
          <w:szCs w:val="24"/>
        </w:rPr>
      </w:pPr>
      <w:r>
        <w:rPr>
          <w:rFonts w:hint="eastAsia"/>
          <w:sz w:val="24"/>
          <w:szCs w:val="24"/>
        </w:rPr>
        <w:t>（一）网络核心内的交易，清算数据由网络核心统计；</w:t>
      </w:r>
    </w:p>
    <w:p>
      <w:pPr>
        <w:spacing w:line="360" w:lineRule="auto"/>
        <w:ind w:firstLine="480" w:firstLineChars="200"/>
        <w:rPr>
          <w:sz w:val="24"/>
          <w:szCs w:val="24"/>
        </w:rPr>
      </w:pPr>
      <w:r>
        <w:rPr>
          <w:rFonts w:hint="eastAsia"/>
          <w:sz w:val="24"/>
          <w:szCs w:val="24"/>
        </w:rPr>
        <w:t>（二）网络核心与柜面核心间交易，网络核心负责自身核心的清算数据；</w:t>
      </w:r>
    </w:p>
    <w:p>
      <w:pPr>
        <w:spacing w:line="360" w:lineRule="auto"/>
        <w:ind w:firstLine="480" w:firstLineChars="200"/>
        <w:rPr>
          <w:sz w:val="24"/>
          <w:szCs w:val="24"/>
        </w:rPr>
      </w:pPr>
      <w:r>
        <w:rPr>
          <w:rFonts w:hint="eastAsia"/>
          <w:sz w:val="24"/>
          <w:szCs w:val="24"/>
        </w:rPr>
        <w:t>（三）网络核心与信用卡核心间交易，由网络核心和信用卡核心分别负责的清算数据。</w:t>
      </w:r>
    </w:p>
    <w:p>
      <w:pPr>
        <w:spacing w:line="360" w:lineRule="auto"/>
        <w:ind w:firstLine="480" w:firstLineChars="200"/>
        <w:rPr>
          <w:sz w:val="24"/>
          <w:szCs w:val="24"/>
        </w:rPr>
      </w:pPr>
      <w:r>
        <w:rPr>
          <w:rFonts w:hint="eastAsia"/>
          <w:sz w:val="24"/>
          <w:szCs w:val="24"/>
        </w:rPr>
        <w:t>三、清算时序</w:t>
      </w:r>
    </w:p>
    <w:p>
      <w:pPr>
        <w:spacing w:line="360" w:lineRule="auto"/>
        <w:ind w:firstLine="480" w:firstLineChars="200"/>
        <w:rPr>
          <w:sz w:val="24"/>
          <w:szCs w:val="24"/>
        </w:rPr>
      </w:pPr>
      <w:r>
        <w:rPr>
          <w:rFonts w:hint="eastAsia"/>
          <w:sz w:val="24"/>
          <w:szCs w:val="24"/>
        </w:rPr>
        <w:t>网络核心设立清算时限区间和清算日切点。清算日切时点由网络核心参数设置并可根据需要进行调整。</w:t>
      </w:r>
    </w:p>
    <w:p>
      <w:pPr>
        <w:spacing w:line="360" w:lineRule="auto"/>
        <w:ind w:firstLine="480" w:firstLineChars="200"/>
        <w:rPr>
          <w:sz w:val="24"/>
          <w:szCs w:val="24"/>
        </w:rPr>
      </w:pPr>
      <w:r>
        <w:rPr>
          <w:rFonts w:hint="eastAsia"/>
          <w:sz w:val="24"/>
          <w:szCs w:val="24"/>
        </w:rPr>
        <w:t>网络核心清算日切点应早于网络核心日终时点，并原则上应早于柜面核心日终时点。</w:t>
      </w:r>
    </w:p>
    <w:p>
      <w:pPr>
        <w:spacing w:line="360" w:lineRule="auto"/>
        <w:ind w:firstLine="480" w:firstLineChars="200"/>
        <w:rPr>
          <w:sz w:val="24"/>
          <w:szCs w:val="24"/>
        </w:rPr>
      </w:pPr>
      <w:r>
        <w:rPr>
          <w:rFonts w:hint="eastAsia"/>
          <w:sz w:val="24"/>
          <w:szCs w:val="24"/>
        </w:rPr>
        <w:t>网络核心在网络核心清算日切点后发送清算报文至柜面核心完成清算，并根据柜面核心返回的成功信息以及记账日期（两核心记账日期须一致，以保证总账账务平衡）完成过渡账户的结转处理。网络核心只有在完成过渡账户结转处理后，再进行日终跑批处理。</w:t>
      </w:r>
    </w:p>
    <w:p>
      <w:pPr>
        <w:spacing w:line="360" w:lineRule="auto"/>
        <w:ind w:firstLine="480" w:firstLineChars="200"/>
        <w:rPr>
          <w:sz w:val="24"/>
          <w:szCs w:val="24"/>
        </w:rPr>
      </w:pPr>
      <w:r>
        <w:rPr>
          <w:rFonts w:hint="eastAsia"/>
          <w:sz w:val="24"/>
          <w:szCs w:val="24"/>
        </w:rPr>
        <w:t>四、结算清算相分离原则</w:t>
      </w:r>
    </w:p>
    <w:p>
      <w:pPr>
        <w:spacing w:line="360" w:lineRule="auto"/>
        <w:ind w:firstLine="480" w:firstLineChars="200"/>
        <w:rPr>
          <w:sz w:val="24"/>
          <w:szCs w:val="24"/>
        </w:rPr>
      </w:pPr>
      <w:r>
        <w:rPr>
          <w:rFonts w:hint="eastAsia"/>
          <w:sz w:val="24"/>
          <w:szCs w:val="24"/>
        </w:rPr>
        <w:t>网络核心相关交易涉及的客户资金结算处理实时完成；结算业务对应清算处理由系统定时自动完成。</w:t>
      </w:r>
    </w:p>
    <w:p>
      <w:pPr>
        <w:spacing w:line="360" w:lineRule="auto"/>
        <w:ind w:firstLine="480" w:firstLineChars="200"/>
        <w:rPr>
          <w:sz w:val="24"/>
          <w:szCs w:val="24"/>
        </w:rPr>
      </w:pPr>
      <w:r>
        <w:rPr>
          <w:rFonts w:hint="eastAsia"/>
          <w:sz w:val="24"/>
          <w:szCs w:val="24"/>
        </w:rPr>
        <w:t>五、账务冲正原则</w:t>
      </w:r>
    </w:p>
    <w:p>
      <w:pPr>
        <w:spacing w:line="360" w:lineRule="auto"/>
        <w:ind w:firstLine="480" w:firstLineChars="200"/>
        <w:rPr>
          <w:sz w:val="24"/>
          <w:szCs w:val="24"/>
        </w:rPr>
      </w:pPr>
      <w:r>
        <w:rPr>
          <w:rFonts w:hint="eastAsia"/>
          <w:sz w:val="24"/>
          <w:szCs w:val="24"/>
        </w:rPr>
        <w:t>网络核心采用冲正交易，区分当日冲正和隔日冲正。原交易和冲正交易按交易发生时点纳入对应清算日期。</w:t>
      </w:r>
    </w:p>
    <w:p>
      <w:pPr>
        <w:pStyle w:val="2"/>
        <w:rPr>
          <w:sz w:val="32"/>
          <w:szCs w:val="32"/>
        </w:rPr>
      </w:pPr>
      <w:r>
        <w:rPr>
          <w:rFonts w:hint="eastAsia"/>
          <w:sz w:val="32"/>
          <w:szCs w:val="32"/>
        </w:rPr>
        <w:t>账户设立</w:t>
      </w:r>
    </w:p>
    <w:p>
      <w:pPr>
        <w:spacing w:line="360" w:lineRule="auto"/>
        <w:ind w:firstLine="480" w:firstLineChars="200"/>
        <w:rPr>
          <w:sz w:val="24"/>
          <w:szCs w:val="24"/>
        </w:rPr>
      </w:pPr>
      <w:r>
        <w:rPr>
          <w:rFonts w:hint="eastAsia"/>
          <w:sz w:val="24"/>
          <w:szCs w:val="24"/>
        </w:rPr>
        <w:t>涉及账务清算的有6个科目21类账户，新增科目4个。根据业务发展的需要可增减，由系统控制与维护。</w:t>
      </w:r>
    </w:p>
    <w:p>
      <w:pPr>
        <w:spacing w:line="360" w:lineRule="auto"/>
        <w:ind w:firstLine="480" w:firstLineChars="200"/>
        <w:rPr>
          <w:sz w:val="24"/>
          <w:szCs w:val="24"/>
        </w:rPr>
      </w:pPr>
      <w:r>
        <w:rPr>
          <w:rFonts w:hint="eastAsia"/>
          <w:sz w:val="24"/>
          <w:szCs w:val="24"/>
        </w:rPr>
        <w:t>6个科目：12210109待查错账、22410109待查错账、30410306网络柜面核心间往来（新增）、30410402网络柜面核心间待清算资金（新增）、30410403网络核心信用卡待清算资金（新增）、30410404网络核心系统内待清算资金（新增）。</w:t>
      </w:r>
    </w:p>
    <w:p>
      <w:pPr>
        <w:spacing w:line="360" w:lineRule="auto"/>
        <w:ind w:firstLine="480" w:firstLineChars="200"/>
        <w:rPr>
          <w:sz w:val="24"/>
          <w:szCs w:val="24"/>
        </w:rPr>
      </w:pPr>
      <w:r>
        <w:rPr>
          <w:rFonts w:hint="eastAsia"/>
          <w:sz w:val="24"/>
          <w:szCs w:val="24"/>
        </w:rPr>
        <w:t>21类账户：12210109待查错账、22410109待查错账、30410306网络柜面核心间往来、30410402网络柜面核心间待清算资金——网络柜面、30410402网络柜面核心间待清算资金——中间业务、30410402网络柜面核心间待清算资金——银联借方业务、30410402网络柜面核心间待清算资金——银联贷方业务、30410402网络柜面核心间待清算资金——大额支付系统、30410402网络柜面核心间待清算资金——小额支付系统、30410402网络柜面核心间待清算资金——农信银支付系统、30410402网络柜面核心间待清算资金——跨行网银支付系统、30410403网络核心信用卡待清算资金、30410404网络核心系统内待清算资金。</w:t>
      </w:r>
    </w:p>
    <w:p>
      <w:pPr>
        <w:pStyle w:val="4"/>
        <w:tabs>
          <w:tab w:val="clear" w:pos="432"/>
        </w:tabs>
      </w:pPr>
      <w:r>
        <w:rPr>
          <w:rFonts w:hint="eastAsia"/>
        </w:rPr>
        <w:t>网络核心</w:t>
      </w:r>
    </w:p>
    <w:p>
      <w:pPr>
        <w:spacing w:line="360" w:lineRule="auto"/>
        <w:ind w:firstLine="480" w:firstLineChars="200"/>
        <w:rPr>
          <w:sz w:val="24"/>
          <w:szCs w:val="24"/>
        </w:rPr>
      </w:pPr>
      <w:r>
        <w:rPr>
          <w:rFonts w:hint="eastAsia"/>
          <w:sz w:val="24"/>
          <w:szCs w:val="24"/>
        </w:rPr>
        <w:t>6个科目16类账户。</w:t>
      </w:r>
    </w:p>
    <w:p>
      <w:pPr>
        <w:spacing w:line="360" w:lineRule="auto"/>
        <w:ind w:firstLine="480" w:firstLineChars="200"/>
        <w:rPr>
          <w:sz w:val="24"/>
          <w:szCs w:val="24"/>
        </w:rPr>
      </w:pPr>
      <w:r>
        <w:rPr>
          <w:rFonts w:hint="eastAsia"/>
          <w:sz w:val="24"/>
          <w:szCs w:val="24"/>
        </w:rPr>
        <w:t>鉴于银联、汇兑业务的特殊性，仅在网络核心设立30410402网络柜面核心间待清算资金——银联、汇兑账户；柜面核心延用原银联、汇兑账户。</w:t>
      </w:r>
    </w:p>
    <w:p>
      <w:pPr>
        <w:spacing w:line="360" w:lineRule="auto"/>
        <w:ind w:firstLine="480" w:firstLineChars="200"/>
        <w:rPr>
          <w:sz w:val="24"/>
          <w:szCs w:val="24"/>
        </w:rPr>
      </w:pPr>
      <w:r>
        <w:rPr>
          <w:rFonts w:hint="eastAsia"/>
          <w:sz w:val="24"/>
          <w:szCs w:val="24"/>
        </w:rPr>
        <w:t>一、待查错账</w:t>
      </w:r>
    </w:p>
    <w:p>
      <w:pPr>
        <w:spacing w:line="360" w:lineRule="auto"/>
        <w:ind w:firstLine="480" w:firstLineChars="200"/>
        <w:rPr>
          <w:sz w:val="24"/>
          <w:szCs w:val="24"/>
        </w:rPr>
      </w:pPr>
      <w:r>
        <w:rPr>
          <w:rFonts w:hint="eastAsia"/>
          <w:sz w:val="24"/>
          <w:szCs w:val="24"/>
        </w:rPr>
        <w:t>12210109待查错账和22410109待查错账。</w:t>
      </w:r>
    </w:p>
    <w:p>
      <w:pPr>
        <w:spacing w:line="360" w:lineRule="auto"/>
        <w:ind w:firstLine="480" w:firstLineChars="200"/>
        <w:rPr>
          <w:sz w:val="24"/>
          <w:szCs w:val="24"/>
        </w:rPr>
      </w:pPr>
      <w:r>
        <w:rPr>
          <w:rFonts w:hint="eastAsia"/>
          <w:sz w:val="24"/>
          <w:szCs w:val="24"/>
        </w:rPr>
        <w:t>网络核心系统内交易的差错挂网络核心。跨核心的交易，差错挂柜面核心。</w:t>
      </w:r>
    </w:p>
    <w:p>
      <w:pPr>
        <w:spacing w:line="360" w:lineRule="auto"/>
        <w:ind w:firstLine="480" w:firstLineChars="200"/>
        <w:rPr>
          <w:sz w:val="24"/>
          <w:szCs w:val="24"/>
        </w:rPr>
      </w:pPr>
      <w:r>
        <w:rPr>
          <w:rFonts w:hint="eastAsia"/>
          <w:sz w:val="24"/>
          <w:szCs w:val="24"/>
        </w:rPr>
        <w:t>二、设立省、行社的30410306网络柜面核心间往来账户</w:t>
      </w:r>
    </w:p>
    <w:p>
      <w:pPr>
        <w:spacing w:line="360" w:lineRule="auto"/>
        <w:ind w:firstLine="480" w:firstLineChars="200"/>
        <w:rPr>
          <w:sz w:val="24"/>
          <w:szCs w:val="24"/>
        </w:rPr>
      </w:pPr>
      <w:r>
        <w:rPr>
          <w:rFonts w:hint="eastAsia"/>
          <w:sz w:val="24"/>
          <w:szCs w:val="24"/>
        </w:rPr>
        <w:t>网络核心设立省、行社的30410306网络柜面核心间往来账户。核算省级、行社间的网络核心的资金清算。</w:t>
      </w:r>
    </w:p>
    <w:p>
      <w:pPr>
        <w:spacing w:line="360" w:lineRule="auto"/>
        <w:ind w:firstLine="480" w:firstLineChars="200"/>
        <w:rPr>
          <w:sz w:val="24"/>
          <w:szCs w:val="24"/>
        </w:rPr>
      </w:pPr>
      <w:r>
        <w:rPr>
          <w:rFonts w:hint="eastAsia"/>
          <w:sz w:val="24"/>
          <w:szCs w:val="24"/>
        </w:rPr>
        <w:t>三、设立省级30410402网络柜面核心间待清算资金账户</w:t>
      </w:r>
    </w:p>
    <w:p>
      <w:pPr>
        <w:spacing w:line="360" w:lineRule="auto"/>
        <w:ind w:firstLine="480" w:firstLineChars="200"/>
        <w:rPr>
          <w:sz w:val="24"/>
          <w:szCs w:val="24"/>
        </w:rPr>
      </w:pPr>
      <w:r>
        <w:rPr>
          <w:rFonts w:hint="eastAsia"/>
          <w:sz w:val="24"/>
          <w:szCs w:val="24"/>
        </w:rPr>
        <w:t>（一）30410402网络柜面核心间待清算资金——网络柜面</w:t>
      </w:r>
    </w:p>
    <w:p>
      <w:pPr>
        <w:spacing w:line="360" w:lineRule="auto"/>
        <w:ind w:firstLine="480" w:firstLineChars="200"/>
        <w:rPr>
          <w:sz w:val="24"/>
          <w:szCs w:val="24"/>
        </w:rPr>
      </w:pPr>
      <w:r>
        <w:rPr>
          <w:rFonts w:hint="eastAsia"/>
          <w:sz w:val="24"/>
          <w:szCs w:val="24"/>
        </w:rPr>
        <w:t>核算网络核心与柜面核心之间的交易，含本行ATM机存取款，除汇兑、银联、中间业务外。</w:t>
      </w:r>
    </w:p>
    <w:p>
      <w:pPr>
        <w:spacing w:line="360" w:lineRule="auto"/>
        <w:ind w:firstLine="480" w:firstLineChars="200"/>
        <w:rPr>
          <w:sz w:val="24"/>
          <w:szCs w:val="24"/>
        </w:rPr>
      </w:pPr>
      <w:r>
        <w:rPr>
          <w:rFonts w:hint="eastAsia"/>
          <w:sz w:val="24"/>
          <w:szCs w:val="24"/>
        </w:rPr>
        <w:t>（二）30410402网络柜面核心间待清算资金——中间业务</w:t>
      </w:r>
    </w:p>
    <w:p>
      <w:pPr>
        <w:spacing w:line="360" w:lineRule="auto"/>
        <w:ind w:firstLine="480" w:firstLineChars="200"/>
        <w:rPr>
          <w:sz w:val="24"/>
          <w:szCs w:val="24"/>
        </w:rPr>
      </w:pPr>
      <w:r>
        <w:rPr>
          <w:rFonts w:hint="eastAsia"/>
          <w:sz w:val="24"/>
          <w:szCs w:val="24"/>
        </w:rPr>
        <w:t>核算网络核心的中间业务缴费的交易。</w:t>
      </w:r>
    </w:p>
    <w:p>
      <w:pPr>
        <w:spacing w:line="360" w:lineRule="auto"/>
        <w:ind w:firstLine="480" w:firstLineChars="200"/>
        <w:rPr>
          <w:sz w:val="24"/>
          <w:szCs w:val="24"/>
        </w:rPr>
      </w:pPr>
      <w:r>
        <w:rPr>
          <w:rFonts w:hint="eastAsia"/>
          <w:sz w:val="24"/>
          <w:szCs w:val="24"/>
        </w:rPr>
        <w:t>（三）30410402网络柜面核心间待清算资金——银联借方业务</w:t>
      </w:r>
    </w:p>
    <w:p>
      <w:pPr>
        <w:spacing w:line="360" w:lineRule="auto"/>
        <w:ind w:firstLine="480" w:firstLineChars="200"/>
        <w:rPr>
          <w:sz w:val="24"/>
          <w:szCs w:val="24"/>
        </w:rPr>
      </w:pPr>
      <w:r>
        <w:rPr>
          <w:rFonts w:hint="eastAsia"/>
          <w:sz w:val="24"/>
          <w:szCs w:val="24"/>
        </w:rPr>
        <w:t>核算网络核心与银联之间的借方交易，除本行ATM机存取款外。</w:t>
      </w:r>
    </w:p>
    <w:p>
      <w:pPr>
        <w:spacing w:line="360" w:lineRule="auto"/>
        <w:ind w:firstLine="480" w:firstLineChars="200"/>
        <w:rPr>
          <w:sz w:val="24"/>
          <w:szCs w:val="24"/>
        </w:rPr>
      </w:pPr>
      <w:r>
        <w:rPr>
          <w:rFonts w:hint="eastAsia"/>
          <w:sz w:val="24"/>
          <w:szCs w:val="24"/>
        </w:rPr>
        <w:t>（四）30410402网络柜面核心间待清算资金——银联贷方业务</w:t>
      </w:r>
    </w:p>
    <w:p>
      <w:pPr>
        <w:spacing w:line="360" w:lineRule="auto"/>
        <w:ind w:firstLine="480" w:firstLineChars="200"/>
        <w:rPr>
          <w:sz w:val="24"/>
          <w:szCs w:val="24"/>
        </w:rPr>
      </w:pPr>
      <w:r>
        <w:rPr>
          <w:rFonts w:hint="eastAsia"/>
          <w:sz w:val="24"/>
          <w:szCs w:val="24"/>
        </w:rPr>
        <w:t>核算网络核心与银联之间的贷方交易，除本行ATM机存取款外。</w:t>
      </w:r>
    </w:p>
    <w:p>
      <w:pPr>
        <w:spacing w:line="360" w:lineRule="auto"/>
        <w:ind w:firstLine="480" w:firstLineChars="200"/>
        <w:rPr>
          <w:sz w:val="24"/>
          <w:szCs w:val="24"/>
        </w:rPr>
      </w:pPr>
      <w:r>
        <w:rPr>
          <w:rFonts w:hint="eastAsia"/>
          <w:sz w:val="24"/>
          <w:szCs w:val="24"/>
        </w:rPr>
        <w:t>（五）30410402网络柜面核心间待清算资金——大额支付系统</w:t>
      </w:r>
    </w:p>
    <w:p>
      <w:pPr>
        <w:spacing w:line="360" w:lineRule="auto"/>
        <w:ind w:firstLine="480" w:firstLineChars="200"/>
        <w:rPr>
          <w:sz w:val="24"/>
          <w:szCs w:val="24"/>
        </w:rPr>
      </w:pPr>
      <w:r>
        <w:rPr>
          <w:rFonts w:hint="eastAsia"/>
          <w:sz w:val="24"/>
          <w:szCs w:val="24"/>
        </w:rPr>
        <w:t>核算网络核心大额支付系统汇划交易。</w:t>
      </w:r>
    </w:p>
    <w:p>
      <w:pPr>
        <w:spacing w:line="360" w:lineRule="auto"/>
        <w:ind w:firstLine="480" w:firstLineChars="200"/>
        <w:rPr>
          <w:sz w:val="24"/>
          <w:szCs w:val="24"/>
        </w:rPr>
      </w:pPr>
      <w:r>
        <w:rPr>
          <w:rFonts w:hint="eastAsia"/>
          <w:sz w:val="24"/>
          <w:szCs w:val="24"/>
        </w:rPr>
        <w:t>（六）30410402网络柜面核心间待清算资金——小额支付系统</w:t>
      </w:r>
    </w:p>
    <w:p>
      <w:pPr>
        <w:spacing w:line="360" w:lineRule="auto"/>
        <w:ind w:firstLine="480" w:firstLineChars="200"/>
        <w:rPr>
          <w:sz w:val="24"/>
          <w:szCs w:val="24"/>
        </w:rPr>
      </w:pPr>
      <w:r>
        <w:rPr>
          <w:rFonts w:hint="eastAsia"/>
          <w:sz w:val="24"/>
          <w:szCs w:val="24"/>
        </w:rPr>
        <w:t>核算网络核心小额支付系统汇划交易。</w:t>
      </w:r>
    </w:p>
    <w:p>
      <w:pPr>
        <w:spacing w:line="360" w:lineRule="auto"/>
        <w:ind w:firstLine="480" w:firstLineChars="200"/>
        <w:rPr>
          <w:sz w:val="24"/>
          <w:szCs w:val="24"/>
        </w:rPr>
      </w:pPr>
      <w:r>
        <w:rPr>
          <w:rFonts w:hint="eastAsia"/>
          <w:sz w:val="24"/>
          <w:szCs w:val="24"/>
        </w:rPr>
        <w:t>（七）30410402网络柜面核心间待清算资金——农信银支付系统</w:t>
      </w:r>
    </w:p>
    <w:p>
      <w:pPr>
        <w:spacing w:line="360" w:lineRule="auto"/>
        <w:ind w:firstLine="480" w:firstLineChars="200"/>
        <w:rPr>
          <w:sz w:val="24"/>
          <w:szCs w:val="24"/>
        </w:rPr>
      </w:pPr>
      <w:r>
        <w:rPr>
          <w:rFonts w:hint="eastAsia"/>
          <w:sz w:val="24"/>
          <w:szCs w:val="24"/>
        </w:rPr>
        <w:t>核算网络核心农信银支付系统汇划交易。</w:t>
      </w:r>
    </w:p>
    <w:p>
      <w:pPr>
        <w:spacing w:line="360" w:lineRule="auto"/>
        <w:ind w:firstLine="480" w:firstLineChars="200"/>
        <w:rPr>
          <w:sz w:val="24"/>
          <w:szCs w:val="24"/>
        </w:rPr>
      </w:pPr>
      <w:r>
        <w:rPr>
          <w:rFonts w:hint="eastAsia"/>
          <w:sz w:val="24"/>
          <w:szCs w:val="24"/>
        </w:rPr>
        <w:t>（八）30410402网络柜面核心间待清算资金——跨行网银支付系统</w:t>
      </w:r>
    </w:p>
    <w:p>
      <w:pPr>
        <w:spacing w:line="360" w:lineRule="auto"/>
        <w:ind w:firstLine="480" w:firstLineChars="200"/>
        <w:rPr>
          <w:sz w:val="24"/>
          <w:szCs w:val="24"/>
        </w:rPr>
      </w:pPr>
      <w:r>
        <w:rPr>
          <w:rFonts w:hint="eastAsia"/>
          <w:sz w:val="24"/>
          <w:szCs w:val="24"/>
        </w:rPr>
        <w:t>核算网络核心跨行网上支付交易。</w:t>
      </w:r>
    </w:p>
    <w:p>
      <w:pPr>
        <w:spacing w:line="360" w:lineRule="auto"/>
        <w:ind w:firstLine="480" w:firstLineChars="200"/>
        <w:rPr>
          <w:sz w:val="24"/>
          <w:szCs w:val="24"/>
        </w:rPr>
      </w:pPr>
      <w:r>
        <w:rPr>
          <w:rFonts w:hint="eastAsia"/>
          <w:sz w:val="24"/>
          <w:szCs w:val="24"/>
        </w:rPr>
        <w:t>四、设立省级30410403网络核心信用卡待清算资金账户</w:t>
      </w:r>
    </w:p>
    <w:p>
      <w:pPr>
        <w:spacing w:line="360" w:lineRule="auto"/>
        <w:ind w:firstLine="480" w:firstLineChars="200"/>
        <w:rPr>
          <w:sz w:val="24"/>
          <w:szCs w:val="24"/>
        </w:rPr>
      </w:pPr>
      <w:r>
        <w:rPr>
          <w:rFonts w:hint="eastAsia"/>
          <w:sz w:val="24"/>
          <w:szCs w:val="24"/>
        </w:rPr>
        <w:t>核算网络核心与信用卡核心之间的交易。</w:t>
      </w:r>
    </w:p>
    <w:p>
      <w:pPr>
        <w:spacing w:line="360" w:lineRule="auto"/>
        <w:ind w:firstLine="480" w:firstLineChars="200"/>
        <w:rPr>
          <w:sz w:val="24"/>
          <w:szCs w:val="24"/>
        </w:rPr>
      </w:pPr>
      <w:r>
        <w:rPr>
          <w:rFonts w:hint="eastAsia"/>
          <w:sz w:val="24"/>
          <w:szCs w:val="24"/>
        </w:rPr>
        <w:t>五、设立省级30410404网络核心系统内待清算资金账户</w:t>
      </w:r>
    </w:p>
    <w:p>
      <w:pPr>
        <w:spacing w:line="360" w:lineRule="auto"/>
        <w:ind w:firstLine="480" w:firstLineChars="200"/>
        <w:rPr>
          <w:sz w:val="24"/>
          <w:szCs w:val="24"/>
        </w:rPr>
      </w:pPr>
      <w:r>
        <w:rPr>
          <w:rFonts w:hint="eastAsia"/>
          <w:sz w:val="24"/>
          <w:szCs w:val="24"/>
        </w:rPr>
        <w:t>核算网络核心系统内的交易。仅在网络核心设置。</w:t>
      </w:r>
    </w:p>
    <w:p>
      <w:pPr>
        <w:pStyle w:val="4"/>
        <w:tabs>
          <w:tab w:val="clear" w:pos="432"/>
        </w:tabs>
      </w:pPr>
      <w:r>
        <w:rPr>
          <w:rFonts w:hint="eastAsia"/>
        </w:rPr>
        <w:t>柜面核心</w:t>
      </w:r>
    </w:p>
    <w:p>
      <w:pPr>
        <w:spacing w:line="360" w:lineRule="auto"/>
        <w:ind w:firstLine="480" w:firstLineChars="200"/>
        <w:rPr>
          <w:sz w:val="24"/>
          <w:szCs w:val="24"/>
        </w:rPr>
      </w:pPr>
      <w:r>
        <w:rPr>
          <w:rFonts w:hint="eastAsia"/>
          <w:sz w:val="24"/>
          <w:szCs w:val="24"/>
        </w:rPr>
        <w:t>3个科目5类账户。不包括柜面核心的待查错账、银联、汇兑账户，仍使用原柜面核心的待查错账、银联、汇兑账户。</w:t>
      </w:r>
    </w:p>
    <w:p>
      <w:pPr>
        <w:spacing w:line="360" w:lineRule="auto"/>
        <w:ind w:firstLine="480" w:firstLineChars="200"/>
        <w:rPr>
          <w:sz w:val="24"/>
          <w:szCs w:val="24"/>
        </w:rPr>
      </w:pPr>
      <w:r>
        <w:rPr>
          <w:rFonts w:hint="eastAsia"/>
          <w:sz w:val="24"/>
          <w:szCs w:val="24"/>
        </w:rPr>
        <w:t>一、设立省、行社的30410306网络柜面核心间往来账户</w:t>
      </w:r>
    </w:p>
    <w:p>
      <w:pPr>
        <w:spacing w:line="360" w:lineRule="auto"/>
        <w:ind w:firstLine="480" w:firstLineChars="200"/>
        <w:rPr>
          <w:sz w:val="24"/>
          <w:szCs w:val="24"/>
        </w:rPr>
      </w:pPr>
      <w:r>
        <w:rPr>
          <w:rFonts w:hint="eastAsia"/>
          <w:sz w:val="24"/>
          <w:szCs w:val="24"/>
        </w:rPr>
        <w:t>网络核心设立省、行社的30410306网络柜面核心间往来账户。核算省级、行社间的网络核心资金清算。</w:t>
      </w:r>
    </w:p>
    <w:p>
      <w:pPr>
        <w:spacing w:line="360" w:lineRule="auto"/>
        <w:ind w:firstLine="480" w:firstLineChars="200"/>
        <w:rPr>
          <w:sz w:val="24"/>
          <w:szCs w:val="24"/>
        </w:rPr>
      </w:pPr>
      <w:r>
        <w:rPr>
          <w:rFonts w:hint="eastAsia"/>
          <w:sz w:val="24"/>
          <w:szCs w:val="24"/>
        </w:rPr>
        <w:t>二、设立省级30410402网络柜面核心间待清算资金账户</w:t>
      </w:r>
    </w:p>
    <w:p>
      <w:pPr>
        <w:spacing w:line="360" w:lineRule="auto"/>
        <w:ind w:firstLine="480" w:firstLineChars="200"/>
        <w:rPr>
          <w:sz w:val="24"/>
          <w:szCs w:val="24"/>
        </w:rPr>
      </w:pPr>
      <w:r>
        <w:rPr>
          <w:rFonts w:hint="eastAsia"/>
          <w:sz w:val="24"/>
          <w:szCs w:val="24"/>
        </w:rPr>
        <w:t>（一）30410402网络柜面核心间待清算资金——网络柜面</w:t>
      </w:r>
    </w:p>
    <w:p>
      <w:pPr>
        <w:spacing w:line="360" w:lineRule="auto"/>
        <w:ind w:firstLine="480" w:firstLineChars="200"/>
        <w:rPr>
          <w:sz w:val="24"/>
          <w:szCs w:val="24"/>
        </w:rPr>
      </w:pPr>
      <w:r>
        <w:rPr>
          <w:rFonts w:hint="eastAsia"/>
          <w:sz w:val="24"/>
          <w:szCs w:val="24"/>
        </w:rPr>
        <w:t>核算网络核心与柜面核心之间的交易，含本行ATM机存取款，除汇兑业务、银联业务、中间业务外。</w:t>
      </w:r>
    </w:p>
    <w:p>
      <w:pPr>
        <w:spacing w:line="360" w:lineRule="auto"/>
        <w:ind w:firstLine="480" w:firstLineChars="200"/>
        <w:rPr>
          <w:sz w:val="24"/>
          <w:szCs w:val="24"/>
        </w:rPr>
      </w:pPr>
      <w:r>
        <w:rPr>
          <w:rFonts w:hint="eastAsia"/>
          <w:sz w:val="24"/>
          <w:szCs w:val="24"/>
        </w:rPr>
        <w:t>（二）30410402网络柜面核心间待清算资金——中间业务</w:t>
      </w:r>
    </w:p>
    <w:p>
      <w:pPr>
        <w:spacing w:line="360" w:lineRule="auto"/>
        <w:ind w:firstLine="480" w:firstLineChars="200"/>
        <w:rPr>
          <w:sz w:val="24"/>
          <w:szCs w:val="24"/>
        </w:rPr>
      </w:pPr>
      <w:r>
        <w:rPr>
          <w:rFonts w:hint="eastAsia"/>
          <w:sz w:val="24"/>
          <w:szCs w:val="24"/>
        </w:rPr>
        <w:t>核算网络核心的中间业务缴费的交易。</w:t>
      </w:r>
    </w:p>
    <w:p>
      <w:pPr>
        <w:spacing w:line="360" w:lineRule="auto"/>
        <w:ind w:firstLine="480" w:firstLineChars="200"/>
        <w:rPr>
          <w:sz w:val="24"/>
          <w:szCs w:val="24"/>
        </w:rPr>
      </w:pPr>
      <w:r>
        <w:rPr>
          <w:rFonts w:hint="eastAsia"/>
          <w:sz w:val="24"/>
          <w:szCs w:val="24"/>
        </w:rPr>
        <w:t>三、设立省级30410403网络核心信用卡待清算资金账户</w:t>
      </w:r>
    </w:p>
    <w:p>
      <w:pPr>
        <w:spacing w:line="360" w:lineRule="auto"/>
        <w:ind w:firstLine="480" w:firstLineChars="200"/>
        <w:rPr>
          <w:sz w:val="24"/>
          <w:szCs w:val="24"/>
        </w:rPr>
      </w:pPr>
      <w:r>
        <w:rPr>
          <w:rFonts w:hint="eastAsia"/>
          <w:sz w:val="24"/>
          <w:szCs w:val="24"/>
        </w:rPr>
        <w:t>核算网络核心与信用卡核心之间的交易。</w:t>
      </w:r>
    </w:p>
    <w:tbl>
      <w:tblPr>
        <w:tblStyle w:val="21"/>
        <w:tblW w:w="10088" w:type="dxa"/>
        <w:tblInd w:w="-459" w:type="dxa"/>
        <w:tblLayout w:type="fixed"/>
        <w:tblCellMar>
          <w:top w:w="0" w:type="dxa"/>
          <w:left w:w="108" w:type="dxa"/>
          <w:bottom w:w="0" w:type="dxa"/>
          <w:right w:w="108" w:type="dxa"/>
        </w:tblCellMar>
      </w:tblPr>
      <w:tblGrid>
        <w:gridCol w:w="1016"/>
        <w:gridCol w:w="2670"/>
        <w:gridCol w:w="992"/>
        <w:gridCol w:w="992"/>
        <w:gridCol w:w="4418"/>
      </w:tblGrid>
      <w:tr>
        <w:tblPrEx>
          <w:tblLayout w:type="fixed"/>
          <w:tblCellMar>
            <w:top w:w="0" w:type="dxa"/>
            <w:left w:w="108" w:type="dxa"/>
            <w:bottom w:w="0" w:type="dxa"/>
            <w:right w:w="108" w:type="dxa"/>
          </w:tblCellMar>
        </w:tblPrEx>
        <w:trPr>
          <w:trHeight w:val="405" w:hRule="atLeast"/>
        </w:trPr>
        <w:tc>
          <w:tcPr>
            <w:tcW w:w="10088" w:type="dxa"/>
            <w:gridSpan w:val="5"/>
            <w:tcBorders>
              <w:top w:val="nil"/>
              <w:left w:val="nil"/>
              <w:bottom w:val="single" w:color="auto" w:sz="4" w:space="0"/>
              <w:right w:val="nil"/>
            </w:tcBorders>
            <w:shd w:val="clear" w:color="auto" w:fill="auto"/>
            <w:vAlign w:val="center"/>
          </w:tcPr>
          <w:p>
            <w:pPr>
              <w:widowControl/>
              <w:jc w:val="center"/>
              <w:rPr>
                <w:rFonts w:ascii="宋体" w:hAnsi="宋体" w:eastAsia="宋体" w:cs="宋体"/>
                <w:b/>
                <w:bCs/>
                <w:color w:val="000000"/>
                <w:kern w:val="0"/>
                <w:sz w:val="32"/>
                <w:szCs w:val="32"/>
              </w:rPr>
            </w:pPr>
            <w:r>
              <w:rPr>
                <w:rFonts w:hint="eastAsia" w:ascii="宋体" w:hAnsi="宋体" w:eastAsia="宋体" w:cs="宋体"/>
                <w:b/>
                <w:bCs/>
                <w:color w:val="000000"/>
                <w:kern w:val="0"/>
                <w:sz w:val="32"/>
                <w:szCs w:val="32"/>
              </w:rPr>
              <w:t>科目账户开立清单</w:t>
            </w:r>
          </w:p>
        </w:tc>
      </w:tr>
      <w:tr>
        <w:tblPrEx>
          <w:tblLayout w:type="fixed"/>
          <w:tblCellMar>
            <w:top w:w="0" w:type="dxa"/>
            <w:left w:w="108" w:type="dxa"/>
            <w:bottom w:w="0" w:type="dxa"/>
            <w:right w:w="108" w:type="dxa"/>
          </w:tblCellMar>
        </w:tblPrEx>
        <w:trPr>
          <w:trHeight w:val="270" w:hRule="atLeast"/>
        </w:trPr>
        <w:tc>
          <w:tcPr>
            <w:tcW w:w="1016"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科目号</w:t>
            </w:r>
          </w:p>
        </w:tc>
        <w:tc>
          <w:tcPr>
            <w:tcW w:w="2670" w:type="dxa"/>
            <w:vMerge w:val="restart"/>
            <w:tcBorders>
              <w:top w:val="nil"/>
              <w:left w:val="single" w:color="auto" w:sz="4" w:space="0"/>
              <w:bottom w:val="single" w:color="000000"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科目名称</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网络核心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柜面核心</w:t>
            </w:r>
          </w:p>
        </w:tc>
        <w:tc>
          <w:tcPr>
            <w:tcW w:w="4418"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账户名称</w:t>
            </w:r>
          </w:p>
        </w:tc>
      </w:tr>
      <w:tr>
        <w:tblPrEx>
          <w:tblLayout w:type="fixed"/>
          <w:tblCellMar>
            <w:top w:w="0" w:type="dxa"/>
            <w:left w:w="108" w:type="dxa"/>
            <w:bottom w:w="0" w:type="dxa"/>
            <w:right w:w="108" w:type="dxa"/>
          </w:tblCellMar>
        </w:tblPrEx>
        <w:trPr>
          <w:trHeight w:val="270" w:hRule="atLeast"/>
        </w:trPr>
        <w:tc>
          <w:tcPr>
            <w:tcW w:w="1016"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22"/>
              </w:rPr>
            </w:pPr>
          </w:p>
        </w:tc>
        <w:tc>
          <w:tcPr>
            <w:tcW w:w="267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开户机构</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开户机构</w:t>
            </w:r>
          </w:p>
        </w:tc>
        <w:tc>
          <w:tcPr>
            <w:tcW w:w="4418"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22"/>
              </w:rPr>
            </w:pP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12210109</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待查错账</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待查错账</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12210109</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待查错账</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行社</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待查错账</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22410109</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待查错账</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待查错账</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22410109</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待查错账</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行社</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待查错账</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30410306</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网络柜面核心间往来</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网络柜面核心间往来</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30410306</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网络柜面核心间往来</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行社</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行社</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网络柜面核心间往来</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网络柜面核心间待清算资金-网络柜面</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网络柜面核心间待清算资金-中间业务</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网络柜面核心间待清算资金-银联借方业务</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网络柜面核心间待清算资金-银联贷方业务</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网络柜面核心间待清算资金-大额支付系统</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网络柜面核心间待清算资金-小额支付系统</w:t>
            </w:r>
          </w:p>
        </w:tc>
      </w:tr>
      <w:tr>
        <w:tblPrEx>
          <w:tblLayout w:type="fixed"/>
          <w:tblCellMar>
            <w:top w:w="0" w:type="dxa"/>
            <w:left w:w="108" w:type="dxa"/>
            <w:bottom w:w="0" w:type="dxa"/>
            <w:right w:w="108" w:type="dxa"/>
          </w:tblCellMar>
        </w:tblPrEx>
        <w:trPr>
          <w:trHeight w:val="270" w:hRule="atLeast"/>
        </w:trPr>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网络柜面核心间待清算资金-农信银支付系统</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网络柜面核心间待清算资金-跨行网银支付系统</w:t>
            </w:r>
          </w:p>
        </w:tc>
      </w:tr>
      <w:tr>
        <w:tblPrEx>
          <w:tblLayout w:type="fixed"/>
          <w:tblCellMar>
            <w:top w:w="0" w:type="dxa"/>
            <w:left w:w="108" w:type="dxa"/>
            <w:bottom w:w="0" w:type="dxa"/>
            <w:right w:w="108" w:type="dxa"/>
          </w:tblCellMar>
        </w:tblPrEx>
        <w:trPr>
          <w:trHeight w:val="270" w:hRule="atLeast"/>
        </w:trPr>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30410403</w:t>
            </w:r>
          </w:p>
        </w:tc>
        <w:tc>
          <w:tcPr>
            <w:tcW w:w="267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网络核心信用卡待清算资金</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4418"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网络核心信用卡待清算资金</w:t>
            </w:r>
          </w:p>
        </w:tc>
      </w:tr>
      <w:tr>
        <w:tblPrEx>
          <w:tblLayout w:type="fixed"/>
          <w:tblCellMar>
            <w:top w:w="0" w:type="dxa"/>
            <w:left w:w="108" w:type="dxa"/>
            <w:bottom w:w="0" w:type="dxa"/>
            <w:right w:w="108" w:type="dxa"/>
          </w:tblCellMar>
        </w:tblPrEx>
        <w:trPr>
          <w:trHeight w:val="270" w:hRule="atLeast"/>
        </w:trPr>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30410404</w:t>
            </w:r>
          </w:p>
        </w:tc>
        <w:tc>
          <w:tcPr>
            <w:tcW w:w="267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网络核心系统内待清算资金</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w:t>
            </w:r>
          </w:p>
        </w:tc>
        <w:tc>
          <w:tcPr>
            <w:tcW w:w="4418"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网络核心系统内待清算资金</w:t>
            </w:r>
          </w:p>
        </w:tc>
      </w:tr>
    </w:tbl>
    <w:p>
      <w:pPr>
        <w:spacing w:line="360" w:lineRule="auto"/>
        <w:rPr>
          <w:sz w:val="24"/>
          <w:szCs w:val="24"/>
        </w:rPr>
      </w:pPr>
      <w:r>
        <w:object>
          <v:shape id="_x0000_i1025" o:spt="75" type="#_x0000_t75" style="height:320.25pt;width:414.75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spacing w:line="360" w:lineRule="auto"/>
      </w:pPr>
      <w:r>
        <w:object>
          <v:shape id="_x0000_i1026" o:spt="75" type="#_x0000_t75" style="height:327.75pt;width:390.75pt;" o:ole="t" filled="f" o:preferrelative="t" stroked="f" coordsize="21600,21600">
            <v:path/>
            <v:fill on="f" focussize="0,0"/>
            <v:stroke on="f" joinstyle="miter"/>
            <v:imagedata r:id="rId7" o:title=""/>
            <o:lock v:ext="edit" aspectratio="t"/>
            <w10:wrap type="none"/>
            <w10:anchorlock/>
          </v:shape>
          <o:OLEObject Type="Embed" ProgID="Visio.Drawing.11" ShapeID="_x0000_i1026" DrawAspect="Content" ObjectID="_1468075726" r:id="rId6">
            <o:LockedField>false</o:LockedField>
          </o:OLEObject>
        </w:object>
      </w:r>
    </w:p>
    <w:p>
      <w:pPr>
        <w:pStyle w:val="2"/>
        <w:rPr>
          <w:sz w:val="32"/>
          <w:szCs w:val="32"/>
        </w:rPr>
      </w:pPr>
      <w:r>
        <w:rPr>
          <w:rFonts w:hint="eastAsia"/>
          <w:sz w:val="32"/>
          <w:szCs w:val="32"/>
        </w:rPr>
        <w:t>清算模式</w:t>
      </w:r>
    </w:p>
    <w:p>
      <w:pPr>
        <w:pStyle w:val="4"/>
      </w:pPr>
      <w:r>
        <w:rPr>
          <w:rFonts w:hint="eastAsia"/>
        </w:rPr>
        <w:t>清算时序</w:t>
      </w:r>
    </w:p>
    <w:p>
      <w:pPr>
        <w:pStyle w:val="5"/>
      </w:pPr>
      <w:r>
        <w:rPr>
          <w:rFonts w:hint="eastAsia"/>
        </w:rPr>
        <w:t>时点定义</w:t>
      </w:r>
    </w:p>
    <w:p>
      <w:pPr>
        <w:spacing w:line="360" w:lineRule="auto"/>
        <w:ind w:firstLine="480" w:firstLineChars="200"/>
        <w:rPr>
          <w:sz w:val="24"/>
          <w:szCs w:val="24"/>
        </w:rPr>
      </w:pPr>
      <w:r>
        <w:rPr>
          <w:rFonts w:hint="eastAsia"/>
          <w:sz w:val="24"/>
          <w:szCs w:val="24"/>
        </w:rPr>
        <w:t>1、网络核心清算日切点</w:t>
      </w:r>
    </w:p>
    <w:p>
      <w:pPr>
        <w:spacing w:line="360" w:lineRule="auto"/>
        <w:ind w:firstLine="480" w:firstLineChars="200"/>
        <w:rPr>
          <w:sz w:val="24"/>
          <w:szCs w:val="24"/>
        </w:rPr>
      </w:pPr>
      <w:r>
        <w:rPr>
          <w:rFonts w:hint="eastAsia"/>
          <w:sz w:val="24"/>
          <w:szCs w:val="24"/>
        </w:rPr>
        <w:t>为控制和区分网络核心的清算场次和清算日期，网络核心设立清算日切点，一般设置在20时，早于柜面核心日终和网络核心日终。参数化控制。</w:t>
      </w:r>
    </w:p>
    <w:p>
      <w:pPr>
        <w:spacing w:line="360" w:lineRule="auto"/>
        <w:ind w:firstLine="480" w:firstLineChars="200"/>
        <w:rPr>
          <w:sz w:val="24"/>
          <w:szCs w:val="24"/>
        </w:rPr>
      </w:pPr>
      <w:r>
        <w:rPr>
          <w:rFonts w:hint="eastAsia"/>
          <w:sz w:val="24"/>
          <w:szCs w:val="24"/>
        </w:rPr>
        <w:t>2、非清算时段</w:t>
      </w:r>
    </w:p>
    <w:p>
      <w:pPr>
        <w:spacing w:line="360" w:lineRule="auto"/>
        <w:ind w:firstLine="480" w:firstLineChars="200"/>
        <w:rPr>
          <w:sz w:val="24"/>
          <w:szCs w:val="24"/>
        </w:rPr>
      </w:pPr>
      <w:r>
        <w:rPr>
          <w:rFonts w:hint="eastAsia"/>
          <w:sz w:val="24"/>
          <w:szCs w:val="24"/>
        </w:rPr>
        <w:t>网络核心清算日切点到网络核心日终后且柜面核心次日日启之间，网络核心的交易不进行资金清算，交易不限制。</w:t>
      </w:r>
    </w:p>
    <w:p>
      <w:pPr>
        <w:spacing w:line="360" w:lineRule="auto"/>
        <w:ind w:firstLine="480" w:firstLineChars="200"/>
        <w:rPr>
          <w:sz w:val="24"/>
          <w:szCs w:val="24"/>
        </w:rPr>
      </w:pPr>
      <w:r>
        <w:rPr>
          <w:rFonts w:hint="eastAsia"/>
          <w:sz w:val="24"/>
          <w:szCs w:val="24"/>
        </w:rPr>
        <w:t>3、清算时段</w:t>
      </w:r>
    </w:p>
    <w:p>
      <w:pPr>
        <w:spacing w:line="360" w:lineRule="auto"/>
        <w:ind w:firstLine="480" w:firstLineChars="200"/>
        <w:rPr>
          <w:sz w:val="24"/>
          <w:szCs w:val="24"/>
        </w:rPr>
      </w:pPr>
      <w:r>
        <w:rPr>
          <w:rFonts w:hint="eastAsia"/>
          <w:sz w:val="24"/>
          <w:szCs w:val="24"/>
        </w:rPr>
        <w:t>网络核心日终后及柜面核心次日日启到网络核心清算日切点之间，网络核心提交清算报文给柜面核心，柜面核心进行清算处理。</w:t>
      </w:r>
    </w:p>
    <w:p>
      <w:pPr>
        <w:spacing w:line="360" w:lineRule="auto"/>
        <w:rPr>
          <w:sz w:val="24"/>
          <w:szCs w:val="24"/>
        </w:rPr>
      </w:pPr>
      <w:r>
        <w:object>
          <v:shape id="_x0000_i1027" o:spt="75" type="#_x0000_t75" style="height:117pt;width:414.75pt;" o:ole="t" filled="f" o:preferrelative="t" stroked="f" coordsize="21600,21600">
            <v:path/>
            <v:fill on="f" focussize="0,0"/>
            <v:stroke on="f" joinstyle="miter"/>
            <v:imagedata r:id="rId9" o:title=""/>
            <o:lock v:ext="edit" aspectratio="t"/>
            <w10:wrap type="none"/>
            <w10:anchorlock/>
          </v:shape>
          <o:OLEObject Type="Embed" ProgID="Visio.Drawing.11" ShapeID="_x0000_i1027" DrawAspect="Content" ObjectID="_1468075727" r:id="rId8">
            <o:LockedField>false</o:LockedField>
          </o:OLEObject>
        </w:object>
      </w:r>
    </w:p>
    <w:p>
      <w:pPr>
        <w:pStyle w:val="5"/>
        <w:tabs>
          <w:tab w:val="clear" w:pos="432"/>
        </w:tabs>
      </w:pPr>
      <w:r>
        <w:rPr>
          <w:rFonts w:hint="eastAsia"/>
        </w:rPr>
        <w:t>日期定义</w:t>
      </w:r>
    </w:p>
    <w:p>
      <w:pPr>
        <w:spacing w:line="360" w:lineRule="auto"/>
        <w:ind w:firstLine="480" w:firstLineChars="200"/>
        <w:rPr>
          <w:sz w:val="24"/>
          <w:szCs w:val="24"/>
        </w:rPr>
      </w:pPr>
      <w:r>
        <w:rPr>
          <w:rFonts w:hint="eastAsia"/>
          <w:sz w:val="24"/>
          <w:szCs w:val="24"/>
        </w:rPr>
        <w:t>1、网络核心清算日期</w:t>
      </w:r>
    </w:p>
    <w:p>
      <w:pPr>
        <w:spacing w:line="360" w:lineRule="auto"/>
        <w:ind w:firstLine="480" w:firstLineChars="200"/>
        <w:rPr>
          <w:sz w:val="24"/>
          <w:szCs w:val="24"/>
        </w:rPr>
      </w:pPr>
      <w:r>
        <w:rPr>
          <w:rFonts w:hint="eastAsia"/>
          <w:sz w:val="24"/>
          <w:szCs w:val="24"/>
        </w:rPr>
        <w:t>网络核心为控制资金清算的需要，避免与柜面核心的清算日期重复，对应的设立网络核心清算日期，网络核心根据清算日期向柜面核心报送清算报文。</w:t>
      </w:r>
    </w:p>
    <w:p>
      <w:pPr>
        <w:spacing w:line="360" w:lineRule="auto"/>
        <w:ind w:firstLine="480" w:firstLineChars="200"/>
        <w:rPr>
          <w:sz w:val="24"/>
          <w:szCs w:val="24"/>
        </w:rPr>
      </w:pPr>
      <w:r>
        <w:rPr>
          <w:rFonts w:hint="eastAsia"/>
          <w:sz w:val="24"/>
          <w:szCs w:val="24"/>
        </w:rPr>
        <w:t>2、柜面核心清算日期</w:t>
      </w:r>
    </w:p>
    <w:p>
      <w:pPr>
        <w:spacing w:line="360" w:lineRule="auto"/>
        <w:ind w:firstLine="480" w:firstLineChars="200"/>
        <w:rPr>
          <w:sz w:val="24"/>
          <w:szCs w:val="24"/>
        </w:rPr>
      </w:pPr>
      <w:r>
        <w:rPr>
          <w:rFonts w:hint="eastAsia"/>
          <w:sz w:val="24"/>
          <w:szCs w:val="24"/>
        </w:rPr>
        <w:t>网络核心将清算报文报送柜面核心清算处理后，返回的清算日期，来确认为网络核心的柜面核心清算日期。</w:t>
      </w:r>
    </w:p>
    <w:p>
      <w:pPr>
        <w:spacing w:line="360" w:lineRule="auto"/>
        <w:ind w:firstLine="480" w:firstLineChars="200"/>
        <w:rPr>
          <w:sz w:val="24"/>
          <w:szCs w:val="24"/>
        </w:rPr>
      </w:pPr>
      <w:r>
        <w:rPr>
          <w:rFonts w:hint="eastAsia"/>
          <w:sz w:val="24"/>
          <w:szCs w:val="24"/>
        </w:rPr>
        <w:t>3、记账日期</w:t>
      </w:r>
    </w:p>
    <w:p>
      <w:pPr>
        <w:spacing w:line="360" w:lineRule="auto"/>
        <w:ind w:firstLine="480" w:firstLineChars="200"/>
        <w:rPr>
          <w:sz w:val="24"/>
          <w:szCs w:val="24"/>
        </w:rPr>
      </w:pPr>
      <w:r>
        <w:rPr>
          <w:rFonts w:hint="eastAsia"/>
          <w:sz w:val="24"/>
          <w:szCs w:val="24"/>
        </w:rPr>
        <w:t>记账日期以实际发生时的日期为记账日期</w:t>
      </w:r>
    </w:p>
    <w:p>
      <w:pPr>
        <w:spacing w:line="360" w:lineRule="auto"/>
        <w:ind w:left="210" w:leftChars="100" w:firstLine="480" w:firstLineChars="200"/>
        <w:rPr>
          <w:sz w:val="24"/>
          <w:szCs w:val="24"/>
        </w:rPr>
      </w:pPr>
      <w:r>
        <w:rPr>
          <w:rFonts w:hint="eastAsia"/>
          <w:sz w:val="24"/>
          <w:szCs w:val="24"/>
        </w:rPr>
        <w:t>4、对账日期</w:t>
      </w:r>
    </w:p>
    <w:p>
      <w:pPr>
        <w:spacing w:line="360" w:lineRule="auto"/>
        <w:ind w:left="210" w:leftChars="100" w:firstLine="480" w:firstLineChars="200"/>
        <w:rPr>
          <w:sz w:val="24"/>
          <w:szCs w:val="24"/>
        </w:rPr>
      </w:pPr>
      <w:r>
        <w:rPr>
          <w:rFonts w:hint="eastAsia"/>
          <w:sz w:val="24"/>
          <w:szCs w:val="24"/>
        </w:rPr>
        <w:t>各支付系统须遵循上述清算时序、清算规则设立相应的对账日期，完成对账处理。</w:t>
      </w:r>
    </w:p>
    <w:p>
      <w:pPr>
        <w:pStyle w:val="4"/>
      </w:pPr>
      <w:r>
        <w:rPr>
          <w:rFonts w:hint="eastAsia"/>
        </w:rPr>
        <w:t>清算场次配置</w:t>
      </w:r>
    </w:p>
    <w:p>
      <w:pPr>
        <w:spacing w:line="360" w:lineRule="auto"/>
        <w:ind w:left="210" w:leftChars="100" w:firstLine="480" w:firstLineChars="200"/>
        <w:rPr>
          <w:sz w:val="24"/>
          <w:szCs w:val="24"/>
        </w:rPr>
      </w:pPr>
      <w:r>
        <w:rPr>
          <w:rFonts w:hint="eastAsia"/>
          <w:sz w:val="24"/>
          <w:szCs w:val="24"/>
        </w:rPr>
        <w:t>网络核心采用定时多场次清算模式，网络核心按场次、交易渠道参数化配置。视实际情况，可设置每天清算1次或多次。上线初期可一天一场。</w:t>
      </w:r>
    </w:p>
    <w:p>
      <w:pPr>
        <w:pStyle w:val="4"/>
      </w:pPr>
      <w:r>
        <w:rPr>
          <w:rFonts w:hint="eastAsia"/>
        </w:rPr>
        <w:t>清算处理</w:t>
      </w:r>
    </w:p>
    <w:p>
      <w:pPr>
        <w:pStyle w:val="5"/>
      </w:pPr>
      <w:r>
        <w:rPr>
          <w:rFonts w:hint="eastAsia"/>
        </w:rPr>
        <w:t>网络核心处理</w:t>
      </w:r>
    </w:p>
    <w:p>
      <w:pPr>
        <w:spacing w:line="360" w:lineRule="auto"/>
        <w:ind w:firstLine="480" w:firstLineChars="200"/>
        <w:rPr>
          <w:sz w:val="24"/>
          <w:szCs w:val="24"/>
        </w:rPr>
      </w:pPr>
      <w:r>
        <w:rPr>
          <w:rFonts w:hint="eastAsia"/>
          <w:sz w:val="24"/>
          <w:szCs w:val="24"/>
        </w:rPr>
        <w:t>一、资金清算数据统计</w:t>
      </w:r>
    </w:p>
    <w:p>
      <w:pPr>
        <w:spacing w:line="360" w:lineRule="auto"/>
        <w:ind w:firstLine="480" w:firstLineChars="200"/>
        <w:rPr>
          <w:sz w:val="24"/>
          <w:szCs w:val="24"/>
        </w:rPr>
      </w:pPr>
      <w:r>
        <w:rPr>
          <w:rFonts w:hint="eastAsia"/>
          <w:sz w:val="24"/>
          <w:szCs w:val="24"/>
        </w:rPr>
        <w:t>不同交易渠道发生的，涉及电子账户的资金交易，其资金清算数据统计由网络核心负责，并负责向柜面核心报送清算报文和网络核心的清算结转。</w:t>
      </w:r>
    </w:p>
    <w:p>
      <w:pPr>
        <w:spacing w:line="360" w:lineRule="auto"/>
        <w:ind w:firstLine="480" w:firstLineChars="200"/>
        <w:rPr>
          <w:sz w:val="24"/>
          <w:szCs w:val="24"/>
        </w:rPr>
      </w:pPr>
      <w:r>
        <w:rPr>
          <w:rFonts w:hint="eastAsia"/>
          <w:sz w:val="24"/>
          <w:szCs w:val="24"/>
        </w:rPr>
        <w:t>二、具体处理</w:t>
      </w:r>
    </w:p>
    <w:p>
      <w:pPr>
        <w:spacing w:line="360" w:lineRule="auto"/>
        <w:ind w:firstLine="480" w:firstLineChars="200"/>
        <w:rPr>
          <w:sz w:val="24"/>
          <w:szCs w:val="24"/>
        </w:rPr>
      </w:pPr>
      <w:r>
        <w:rPr>
          <w:rFonts w:hint="eastAsia"/>
          <w:sz w:val="24"/>
          <w:szCs w:val="24"/>
        </w:rPr>
        <w:t>（一）清算时段内</w:t>
      </w:r>
    </w:p>
    <w:p>
      <w:pPr>
        <w:spacing w:line="360" w:lineRule="auto"/>
        <w:ind w:firstLine="480" w:firstLineChars="200"/>
        <w:rPr>
          <w:sz w:val="24"/>
          <w:szCs w:val="24"/>
        </w:rPr>
      </w:pPr>
      <w:r>
        <w:rPr>
          <w:rFonts w:hint="eastAsia"/>
          <w:sz w:val="24"/>
          <w:szCs w:val="24"/>
        </w:rPr>
        <w:t>网络核心从上一已清算场次后，统计本场次资金清算到未清算场次切换时，产生清算报文发送柜面核心。柜面核心收到清算报文后，自动完成清算处理，成功后返回记账成功信息和清算日期。</w:t>
      </w:r>
    </w:p>
    <w:p>
      <w:pPr>
        <w:spacing w:line="360" w:lineRule="auto"/>
        <w:ind w:firstLine="480" w:firstLineChars="200"/>
        <w:rPr>
          <w:sz w:val="24"/>
          <w:szCs w:val="24"/>
        </w:rPr>
      </w:pPr>
      <w:r>
        <w:rPr>
          <w:rFonts w:hint="eastAsia"/>
          <w:sz w:val="24"/>
          <w:szCs w:val="24"/>
        </w:rPr>
        <w:t>网络核心根据柜面核心清算成功后信息，将本场次已清算数据必须在柜面清算日期内进行清算结转记账。根据清算结转报文的借贷发生额进行30410402网络柜面核心间待清算资金账户、30410403网络核心信用卡待清算资金账户、30410404网络核心系统内待清算资金账户结转到30410306网络柜面核心间往来账户。并添加柜面核心清算日期。</w:t>
      </w:r>
    </w:p>
    <w:p>
      <w:pPr>
        <w:spacing w:line="360" w:lineRule="auto"/>
        <w:ind w:firstLine="480" w:firstLineChars="200"/>
        <w:rPr>
          <w:sz w:val="24"/>
          <w:szCs w:val="24"/>
        </w:rPr>
      </w:pPr>
      <w:r>
        <w:rPr>
          <w:rFonts w:hint="eastAsia"/>
          <w:sz w:val="24"/>
          <w:szCs w:val="24"/>
        </w:rPr>
        <w:t>（二）非清算时段内</w:t>
      </w:r>
    </w:p>
    <w:p>
      <w:pPr>
        <w:spacing w:line="360" w:lineRule="auto"/>
        <w:ind w:firstLine="480" w:firstLineChars="200"/>
        <w:rPr>
          <w:sz w:val="24"/>
          <w:szCs w:val="24"/>
        </w:rPr>
      </w:pPr>
      <w:r>
        <w:rPr>
          <w:rFonts w:hint="eastAsia"/>
          <w:sz w:val="24"/>
          <w:szCs w:val="24"/>
        </w:rPr>
        <w:t>网络核心清算日切点到柜面核心次日日启之间，资金清算数据统计在次日清算，待到次日清算时段内，产生清算报文，发送柜面核心清算。</w:t>
      </w:r>
    </w:p>
    <w:p>
      <w:pPr>
        <w:spacing w:line="360" w:lineRule="auto"/>
        <w:ind w:firstLine="480" w:firstLineChars="200"/>
        <w:rPr>
          <w:sz w:val="24"/>
          <w:szCs w:val="24"/>
        </w:rPr>
      </w:pPr>
      <w:r>
        <w:rPr>
          <w:rFonts w:hint="eastAsia"/>
          <w:sz w:val="24"/>
          <w:szCs w:val="24"/>
        </w:rPr>
        <w:t>（三）特殊情况</w:t>
      </w:r>
    </w:p>
    <w:p>
      <w:pPr>
        <w:spacing w:line="360" w:lineRule="auto"/>
        <w:ind w:firstLine="480" w:firstLineChars="200"/>
        <w:rPr>
          <w:sz w:val="24"/>
          <w:szCs w:val="24"/>
        </w:rPr>
      </w:pPr>
      <w:r>
        <w:rPr>
          <w:rFonts w:hint="eastAsia"/>
          <w:sz w:val="24"/>
          <w:szCs w:val="24"/>
        </w:rPr>
        <w:t>网络核心向柜面核心提交了T日N场次的清算报文，但柜面核心返回的清算日期为T+1日，则网络核心的清算结转在T+1日结转，同时修改网络核心清算日期为T+1。</w:t>
      </w:r>
    </w:p>
    <w:p>
      <w:pPr>
        <w:pStyle w:val="5"/>
      </w:pPr>
      <w:r>
        <w:rPr>
          <w:rFonts w:hint="eastAsia"/>
        </w:rPr>
        <w:t>柜面核心处理</w:t>
      </w:r>
    </w:p>
    <w:p>
      <w:pPr>
        <w:spacing w:line="360" w:lineRule="auto"/>
        <w:ind w:firstLine="480" w:firstLineChars="200"/>
        <w:rPr>
          <w:sz w:val="24"/>
          <w:szCs w:val="24"/>
        </w:rPr>
      </w:pPr>
      <w:r>
        <w:rPr>
          <w:rFonts w:hint="eastAsia"/>
          <w:sz w:val="24"/>
          <w:szCs w:val="24"/>
        </w:rPr>
        <w:t>柜面核心在柜面核心日启后至柜面核心日终前，都可接收网络核心发送的清算报文，柜面核心根据清算报文进行资金清算，即将省清算中心30410402网络柜面核心间待清算资金账户、30410403网络核心信用卡待清算资金账户及相关支付系统的过渡账户清算到行社的30410306网络柜面核心间往来账户。</w:t>
      </w:r>
    </w:p>
    <w:p>
      <w:pPr>
        <w:pStyle w:val="2"/>
        <w:rPr>
          <w:sz w:val="32"/>
          <w:szCs w:val="32"/>
        </w:rPr>
      </w:pPr>
      <w:r>
        <w:rPr>
          <w:rFonts w:hint="eastAsia"/>
          <w:sz w:val="32"/>
          <w:szCs w:val="32"/>
        </w:rPr>
        <w:t>对账机制</w:t>
      </w:r>
    </w:p>
    <w:p>
      <w:pPr>
        <w:pStyle w:val="3"/>
        <w:ind w:firstLine="480"/>
        <w:rPr>
          <w:sz w:val="24"/>
        </w:rPr>
      </w:pPr>
      <w:r>
        <w:rPr>
          <w:rFonts w:hint="eastAsia"/>
          <w:sz w:val="24"/>
        </w:rPr>
        <w:t>网络核心应根据应用系统要求建立相关对账登记簿，以保障业务核对。</w:t>
      </w:r>
    </w:p>
    <w:p>
      <w:pPr>
        <w:pStyle w:val="4"/>
        <w:tabs>
          <w:tab w:val="clear" w:pos="432"/>
        </w:tabs>
      </w:pPr>
      <w:r>
        <w:rPr>
          <w:rFonts w:hint="eastAsia"/>
        </w:rPr>
        <w:t>网络核心与柜面核心对账</w:t>
      </w:r>
    </w:p>
    <w:p>
      <w:pPr>
        <w:spacing w:line="360" w:lineRule="auto"/>
        <w:ind w:firstLine="482" w:firstLineChars="200"/>
        <w:rPr>
          <w:b/>
          <w:sz w:val="24"/>
          <w:szCs w:val="24"/>
        </w:rPr>
      </w:pPr>
      <w:r>
        <w:rPr>
          <w:rFonts w:hint="eastAsia"/>
          <w:b/>
          <w:sz w:val="24"/>
          <w:szCs w:val="24"/>
        </w:rPr>
        <w:t>一、30410306网络柜面核心间往来核对</w:t>
      </w:r>
    </w:p>
    <w:p>
      <w:pPr>
        <w:spacing w:line="360" w:lineRule="auto"/>
        <w:ind w:firstLine="480" w:firstLineChars="200"/>
        <w:rPr>
          <w:sz w:val="24"/>
          <w:szCs w:val="24"/>
        </w:rPr>
      </w:pPr>
      <w:r>
        <w:rPr>
          <w:rFonts w:hint="eastAsia"/>
          <w:sz w:val="24"/>
          <w:szCs w:val="24"/>
        </w:rPr>
        <w:t>当天核对，按账户逐个核对，借贷发生额汇总核对、余额逐个核对。网络核心与柜面核心的对应账户余额一致。</w:t>
      </w:r>
    </w:p>
    <w:p>
      <w:pPr>
        <w:spacing w:line="360" w:lineRule="auto"/>
        <w:ind w:firstLine="480" w:firstLineChars="200"/>
        <w:rPr>
          <w:sz w:val="24"/>
          <w:szCs w:val="24"/>
        </w:rPr>
      </w:pPr>
      <w:r>
        <w:rPr>
          <w:rFonts w:hint="eastAsia"/>
          <w:sz w:val="24"/>
          <w:szCs w:val="24"/>
        </w:rPr>
        <w:t>如有差错，网络核心根据柜面核心余额，调整30410306网络柜面核心间往来账户，差额记入网络核心的待查错账科目。经核查后，进行差错调账处理。</w:t>
      </w:r>
    </w:p>
    <w:p>
      <w:pPr>
        <w:spacing w:line="360" w:lineRule="auto"/>
        <w:ind w:firstLine="482" w:firstLineChars="200"/>
        <w:rPr>
          <w:b/>
          <w:sz w:val="24"/>
          <w:szCs w:val="24"/>
        </w:rPr>
      </w:pPr>
      <w:r>
        <w:rPr>
          <w:rFonts w:hint="eastAsia"/>
          <w:b/>
          <w:sz w:val="24"/>
          <w:szCs w:val="24"/>
        </w:rPr>
        <w:t>二、304104系统间待清算资金核对</w:t>
      </w:r>
    </w:p>
    <w:p>
      <w:pPr>
        <w:spacing w:line="360" w:lineRule="auto"/>
        <w:ind w:firstLine="480" w:firstLineChars="200"/>
        <w:rPr>
          <w:sz w:val="24"/>
          <w:szCs w:val="24"/>
        </w:rPr>
      </w:pPr>
      <w:r>
        <w:rPr>
          <w:rFonts w:hint="eastAsia"/>
          <w:sz w:val="24"/>
          <w:szCs w:val="24"/>
        </w:rPr>
        <w:t>304104系统间待清算资金核对，次日核对。</w:t>
      </w:r>
    </w:p>
    <w:p>
      <w:pPr>
        <w:spacing w:line="360" w:lineRule="auto"/>
        <w:ind w:firstLine="480" w:firstLineChars="200"/>
        <w:rPr>
          <w:sz w:val="24"/>
          <w:szCs w:val="24"/>
        </w:rPr>
      </w:pPr>
      <w:r>
        <w:rPr>
          <w:rFonts w:hint="eastAsia"/>
          <w:sz w:val="24"/>
          <w:szCs w:val="24"/>
        </w:rPr>
        <w:t>核对网络核心清算日切后，柜面核心日终前，柜面核心未清算的交易；网络核心清算日切后、网络核心日终前，网络核心未清算的交易，分别与双核心对应账户的余额核对。核对账户：30410402网络柜面核心间待清算资金（网络柜面、中间业务）、30410403网络核心信用卡待清算资金。</w:t>
      </w:r>
    </w:p>
    <w:p>
      <w:pPr>
        <w:spacing w:line="360" w:lineRule="auto"/>
        <w:ind w:firstLine="480" w:firstLineChars="200"/>
        <w:rPr>
          <w:sz w:val="24"/>
          <w:szCs w:val="24"/>
        </w:rPr>
      </w:pPr>
      <w:r>
        <w:rPr>
          <w:rFonts w:hint="eastAsia"/>
          <w:sz w:val="24"/>
          <w:szCs w:val="24"/>
        </w:rPr>
        <w:t>（一）余额核对</w:t>
      </w:r>
    </w:p>
    <w:p>
      <w:pPr>
        <w:spacing w:line="360" w:lineRule="auto"/>
        <w:ind w:firstLine="480" w:firstLineChars="200"/>
        <w:rPr>
          <w:sz w:val="24"/>
          <w:szCs w:val="24"/>
        </w:rPr>
      </w:pPr>
      <w:r>
        <w:rPr>
          <w:rFonts w:hint="eastAsia"/>
          <w:sz w:val="24"/>
          <w:szCs w:val="24"/>
        </w:rPr>
        <w:t>根据未清算登记薄，分别与网络核心、柜面核心的网络柜面核心间待清算资金账户、网络核心信用卡待清算资金账户进行核对。30410402网络柜面核心间待清算资金——中间业务账户还需要中间业务平台负责核对。</w:t>
      </w:r>
    </w:p>
    <w:p>
      <w:pPr>
        <w:spacing w:line="360" w:lineRule="auto"/>
        <w:ind w:firstLine="480" w:firstLineChars="200"/>
        <w:rPr>
          <w:sz w:val="24"/>
          <w:szCs w:val="24"/>
        </w:rPr>
      </w:pPr>
      <w:r>
        <w:rPr>
          <w:rFonts w:hint="eastAsia"/>
          <w:sz w:val="24"/>
          <w:szCs w:val="24"/>
        </w:rPr>
        <w:t>（二）日切差核对</w:t>
      </w:r>
    </w:p>
    <w:p>
      <w:pPr>
        <w:spacing w:line="360" w:lineRule="auto"/>
        <w:ind w:firstLine="425" w:firstLineChars="177"/>
        <w:rPr>
          <w:sz w:val="24"/>
          <w:szCs w:val="24"/>
        </w:rPr>
      </w:pPr>
      <w:r>
        <w:rPr>
          <w:rFonts w:hint="eastAsia"/>
          <w:sz w:val="24"/>
          <w:szCs w:val="24"/>
        </w:rPr>
        <w:t>账户日切差是网络核心与柜面核心日终处理的时间点的不同，造成双方余额不一致，而形成的日切差。</w:t>
      </w:r>
    </w:p>
    <w:p>
      <w:pPr>
        <w:spacing w:line="360" w:lineRule="auto"/>
        <w:ind w:firstLine="426" w:firstLineChars="177"/>
        <w:rPr>
          <w:b/>
          <w:sz w:val="24"/>
          <w:szCs w:val="24"/>
        </w:rPr>
      </w:pPr>
      <w:r>
        <w:rPr>
          <w:rFonts w:hint="eastAsia"/>
          <w:b/>
          <w:sz w:val="24"/>
          <w:szCs w:val="24"/>
        </w:rPr>
        <w:t>网络核心待清算账户余额-柜面核心对应的待清算账户余额=网络核心未清算登记薄的未清算余额-柜面核心未清算登记薄的未清算余额</w:t>
      </w:r>
    </w:p>
    <w:p>
      <w:pPr>
        <w:spacing w:line="360" w:lineRule="auto"/>
        <w:ind w:firstLine="480" w:firstLineChars="200"/>
        <w:rPr>
          <w:sz w:val="24"/>
          <w:szCs w:val="24"/>
        </w:rPr>
      </w:pPr>
      <w:r>
        <w:rPr>
          <w:rFonts w:hint="eastAsia"/>
          <w:sz w:val="24"/>
          <w:szCs w:val="24"/>
        </w:rPr>
        <w:t>建立日切差登记薄，登记日切差的差错、日切差的交易明细，还应注明日切差表现形式和原因，后续处理情况。</w:t>
      </w:r>
    </w:p>
    <w:p>
      <w:pPr>
        <w:spacing w:line="360" w:lineRule="auto"/>
      </w:pPr>
      <w:r>
        <w:object>
          <v:shape id="_x0000_i1028" o:spt="75" type="#_x0000_t75" style="height:111.75pt;width:414.75pt;" o:ole="t" filled="f" o:preferrelative="t" stroked="f" coordsize="21600,21600">
            <v:path/>
            <v:fill on="f" focussize="0,0"/>
            <v:stroke on="f" joinstyle="miter"/>
            <v:imagedata r:id="rId11" o:title=""/>
            <o:lock v:ext="edit" aspectratio="t"/>
            <w10:wrap type="none"/>
            <w10:anchorlock/>
          </v:shape>
          <o:OLEObject Type="Embed" ProgID="Visio.Drawing.11" ShapeID="_x0000_i1028" DrawAspect="Content" ObjectID="_1468075728" r:id="rId10">
            <o:LockedField>false</o:LockedField>
          </o:OLEObject>
        </w:object>
      </w:r>
    </w:p>
    <w:p>
      <w:pPr>
        <w:pStyle w:val="4"/>
        <w:tabs>
          <w:tab w:val="clear" w:pos="432"/>
        </w:tabs>
      </w:pPr>
      <w:r>
        <w:rPr>
          <w:rFonts w:hint="eastAsia"/>
        </w:rPr>
        <w:t>网络核心与信用卡核心对账</w:t>
      </w:r>
    </w:p>
    <w:p>
      <w:pPr>
        <w:spacing w:line="360" w:lineRule="auto"/>
        <w:ind w:firstLine="480" w:firstLineChars="200"/>
        <w:rPr>
          <w:sz w:val="24"/>
          <w:szCs w:val="24"/>
        </w:rPr>
      </w:pPr>
      <w:r>
        <w:rPr>
          <w:rFonts w:hint="eastAsia"/>
          <w:sz w:val="24"/>
          <w:szCs w:val="24"/>
        </w:rPr>
        <w:t>次日核对，信用卡核心日终时产生对账文件，网络核心自主获取信用卡核心对账文件，同时获取网络核心日终对账文件，逐笔勾对。如有差错，差额记入柜面核心的待查错账科目。经核查后，进行差错调账处理。</w:t>
      </w:r>
    </w:p>
    <w:p>
      <w:pPr>
        <w:spacing w:line="360" w:lineRule="auto"/>
      </w:pPr>
      <w:r>
        <w:object>
          <v:shape id="_x0000_i1029" o:spt="75" type="#_x0000_t75" style="height:166.5pt;width:414.75pt;" o:ole="t" filled="f" o:preferrelative="t" stroked="f" coordsize="21600,21600">
            <v:path/>
            <v:fill on="f" focussize="0,0"/>
            <v:stroke on="f" joinstyle="miter"/>
            <v:imagedata r:id="rId13" o:title=""/>
            <o:lock v:ext="edit" aspectratio="t"/>
            <w10:wrap type="none"/>
            <w10:anchorlock/>
          </v:shape>
          <o:OLEObject Type="Embed" ProgID="Visio.Drawing.11" ShapeID="_x0000_i1029" DrawAspect="Content" ObjectID="_1468075729" r:id="rId12">
            <o:LockedField>false</o:LockedField>
          </o:OLEObject>
        </w:object>
      </w:r>
    </w:p>
    <w:p>
      <w:pPr>
        <w:pStyle w:val="4"/>
        <w:tabs>
          <w:tab w:val="clear" w:pos="432"/>
        </w:tabs>
      </w:pPr>
      <w:r>
        <w:rPr>
          <w:rFonts w:hint="eastAsia"/>
        </w:rPr>
        <w:t>304104待清算其它账户余额核对</w:t>
      </w:r>
    </w:p>
    <w:p>
      <w:pPr>
        <w:spacing w:line="360" w:lineRule="auto"/>
        <w:ind w:firstLine="480" w:firstLineChars="200"/>
        <w:rPr>
          <w:sz w:val="24"/>
          <w:szCs w:val="24"/>
        </w:rPr>
      </w:pPr>
      <w:r>
        <w:rPr>
          <w:rFonts w:hint="eastAsia"/>
          <w:sz w:val="24"/>
          <w:szCs w:val="24"/>
        </w:rPr>
        <w:t>核对仅在网络核心开立的系统间待清算资金账户，核对网络核心清算日切后，网络核心日终前，网络核心未清算的交易。核对账户：30410402网络柜面核心间待清算资金（银联借方业务、银联贷方业务、大额支付系统、小额支付系统 、农信银支付系统、跨行网银支付系统）、30410404网络核心系统内待清算资金。</w:t>
      </w:r>
    </w:p>
    <w:p>
      <w:pPr>
        <w:spacing w:line="360" w:lineRule="auto"/>
        <w:ind w:firstLine="480" w:firstLineChars="200"/>
        <w:rPr>
          <w:sz w:val="24"/>
          <w:szCs w:val="24"/>
        </w:rPr>
      </w:pPr>
      <w:r>
        <w:rPr>
          <w:rFonts w:hint="eastAsia"/>
          <w:sz w:val="24"/>
          <w:szCs w:val="24"/>
        </w:rPr>
        <w:t>分别由银联卡前置、人行支付系统前置、农信银支付系统前置、网络核心负责对账。</w:t>
      </w:r>
    </w:p>
    <w:p>
      <w:pPr>
        <w:spacing w:line="360" w:lineRule="auto"/>
        <w:ind w:firstLine="426" w:firstLineChars="177"/>
        <w:rPr>
          <w:b/>
          <w:sz w:val="24"/>
          <w:szCs w:val="24"/>
        </w:rPr>
      </w:pPr>
      <w:r>
        <w:rPr>
          <w:rFonts w:hint="eastAsia"/>
          <w:b/>
          <w:sz w:val="24"/>
          <w:szCs w:val="24"/>
        </w:rPr>
        <w:t>网络核心待清算账户余额=业务系统未清算登记薄的未清算余额</w:t>
      </w:r>
    </w:p>
    <w:p>
      <w:pPr>
        <w:spacing w:line="360" w:lineRule="auto"/>
        <w:ind w:firstLine="485" w:firstLineChars="202"/>
        <w:rPr>
          <w:sz w:val="24"/>
          <w:szCs w:val="24"/>
        </w:rPr>
      </w:pPr>
      <w:r>
        <w:rPr>
          <w:rFonts w:hint="eastAsia"/>
          <w:sz w:val="24"/>
          <w:szCs w:val="24"/>
        </w:rPr>
        <w:t>同理，也需要建立未清算核对登记薄。</w:t>
      </w:r>
    </w:p>
    <w:p>
      <w:pPr>
        <w:spacing w:line="360" w:lineRule="auto"/>
        <w:rPr>
          <w:sz w:val="24"/>
          <w:szCs w:val="24"/>
        </w:rPr>
      </w:pPr>
      <w:r>
        <w:object>
          <v:shape id="_x0000_i1030" o:spt="75" type="#_x0000_t75" style="height:74.25pt;width:414.75pt;" o:ole="t" filled="f" o:preferrelative="t" stroked="f" coordsize="21600,21600">
            <v:path/>
            <v:fill on="f" focussize="0,0"/>
            <v:stroke on="f" joinstyle="miter"/>
            <v:imagedata r:id="rId15" o:title=""/>
            <o:lock v:ext="edit" aspectratio="t"/>
            <w10:wrap type="none"/>
            <w10:anchorlock/>
          </v:shape>
          <o:OLEObject Type="Embed" ProgID="Visio.Drawing.11" ShapeID="_x0000_i1030" DrawAspect="Content" ObjectID="_1468075730" r:id="rId14">
            <o:LockedField>false</o:LockedField>
          </o:OLEObject>
        </w:object>
      </w:r>
    </w:p>
    <w:p>
      <w:pPr>
        <w:pStyle w:val="4"/>
        <w:tabs>
          <w:tab w:val="clear" w:pos="432"/>
        </w:tabs>
      </w:pPr>
      <w:r>
        <w:rPr>
          <w:rFonts w:hint="eastAsia"/>
        </w:rPr>
        <w:t>其它系统对账</w:t>
      </w:r>
    </w:p>
    <w:p>
      <w:pPr>
        <w:spacing w:line="360" w:lineRule="auto"/>
        <w:ind w:firstLine="480" w:firstLineChars="200"/>
        <w:rPr>
          <w:sz w:val="24"/>
          <w:szCs w:val="24"/>
        </w:rPr>
      </w:pPr>
      <w:r>
        <w:rPr>
          <w:rFonts w:hint="eastAsia"/>
          <w:sz w:val="24"/>
          <w:szCs w:val="24"/>
        </w:rPr>
        <w:t xml:space="preserve">各应用系统应建立业务与账务核对机制，负责相关业务的对账与差错处理。 </w:t>
      </w:r>
    </w:p>
    <w:p>
      <w:pPr>
        <w:pStyle w:val="2"/>
        <w:rPr>
          <w:sz w:val="32"/>
          <w:szCs w:val="32"/>
        </w:rPr>
      </w:pPr>
      <w:r>
        <w:rPr>
          <w:rFonts w:hint="eastAsia"/>
          <w:sz w:val="32"/>
          <w:szCs w:val="32"/>
        </w:rPr>
        <w:t>日间头寸统计功能</w:t>
      </w:r>
    </w:p>
    <w:p>
      <w:pPr>
        <w:pStyle w:val="4"/>
      </w:pPr>
      <w:bookmarkStart w:id="0" w:name="_Toc444195167"/>
      <w:bookmarkStart w:id="1" w:name="_Toc406835602"/>
      <w:r>
        <w:rPr>
          <w:rFonts w:hint="eastAsia"/>
        </w:rPr>
        <w:t>功能描述</w:t>
      </w:r>
      <w:bookmarkEnd w:id="0"/>
      <w:bookmarkEnd w:id="1"/>
    </w:p>
    <w:p>
      <w:pPr>
        <w:spacing w:line="360" w:lineRule="auto"/>
        <w:ind w:firstLine="480" w:firstLineChars="200"/>
        <w:rPr>
          <w:sz w:val="24"/>
          <w:szCs w:val="24"/>
        </w:rPr>
      </w:pPr>
      <w:r>
        <w:rPr>
          <w:rFonts w:hint="eastAsia"/>
          <w:sz w:val="24"/>
          <w:szCs w:val="24"/>
        </w:rPr>
        <w:t>该交易支持系统对网络核心所有未清算交易进行准实时的统计，便于柜面核心定时头寸监控功能实现，统计频率可以按间隔时间（分钟）进行参数化设置。</w:t>
      </w:r>
    </w:p>
    <w:p>
      <w:pPr>
        <w:pStyle w:val="4"/>
        <w:tabs>
          <w:tab w:val="clear" w:pos="432"/>
        </w:tabs>
      </w:pPr>
      <w:r>
        <w:rPr>
          <w:rFonts w:hint="eastAsia"/>
        </w:rPr>
        <w:t>统计规则</w:t>
      </w:r>
    </w:p>
    <w:p>
      <w:pPr>
        <w:spacing w:line="360" w:lineRule="auto"/>
        <w:ind w:firstLine="480" w:firstLineChars="200"/>
        <w:rPr>
          <w:sz w:val="24"/>
          <w:szCs w:val="24"/>
        </w:rPr>
      </w:pPr>
      <w:r>
        <w:rPr>
          <w:rFonts w:hint="eastAsia"/>
          <w:sz w:val="24"/>
          <w:szCs w:val="24"/>
        </w:rPr>
        <w:t>1、网络核心按统计频率将当前未清算的交易分借贷方发生额累计。统计时间段：上一已清算时点至统计时点；</w:t>
      </w:r>
    </w:p>
    <w:p>
      <w:pPr>
        <w:spacing w:line="360" w:lineRule="auto"/>
        <w:ind w:firstLine="480" w:firstLineChars="200"/>
        <w:rPr>
          <w:sz w:val="24"/>
          <w:szCs w:val="24"/>
        </w:rPr>
      </w:pPr>
      <w:r>
        <w:rPr>
          <w:rFonts w:hint="eastAsia"/>
          <w:sz w:val="24"/>
          <w:szCs w:val="24"/>
        </w:rPr>
        <w:t>2、统计数据应放到指定目录下，供原头寸监控交易汇总计算；</w:t>
      </w:r>
    </w:p>
    <w:p>
      <w:pPr>
        <w:spacing w:line="360" w:lineRule="auto"/>
        <w:ind w:firstLine="480" w:firstLineChars="200"/>
        <w:rPr>
          <w:sz w:val="24"/>
          <w:szCs w:val="24"/>
        </w:rPr>
      </w:pPr>
      <w:r>
        <w:rPr>
          <w:rFonts w:hint="eastAsia"/>
          <w:sz w:val="24"/>
          <w:szCs w:val="24"/>
        </w:rPr>
        <w:t>3、包括以下字段：统计清算日期、统计时点、联社号、统计场次、借方发生笔数、借方发生金额、贷方发生笔数、贷方发生金额。</w:t>
      </w:r>
    </w:p>
    <w:p>
      <w:pPr>
        <w:pStyle w:val="2"/>
        <w:rPr>
          <w:sz w:val="32"/>
          <w:szCs w:val="32"/>
        </w:rPr>
      </w:pPr>
      <w:r>
        <w:rPr>
          <w:rFonts w:hint="eastAsia"/>
          <w:sz w:val="32"/>
          <w:szCs w:val="32"/>
        </w:rPr>
        <w:t>产品核算图例说明</w:t>
      </w:r>
    </w:p>
    <w:p>
      <w:pPr>
        <w:spacing w:line="360" w:lineRule="auto"/>
        <w:ind w:firstLine="480" w:firstLineChars="200"/>
        <w:rPr>
          <w:sz w:val="24"/>
          <w:szCs w:val="24"/>
        </w:rPr>
      </w:pPr>
      <w:r>
        <w:rPr>
          <w:rFonts w:hint="eastAsia"/>
          <w:sz w:val="24"/>
          <w:szCs w:val="24"/>
        </w:rPr>
        <w:t>以801、802机构为例。</w:t>
      </w:r>
    </w:p>
    <w:p>
      <w:pPr>
        <w:spacing w:line="360" w:lineRule="auto"/>
        <w:rPr>
          <w:sz w:val="24"/>
          <w:szCs w:val="24"/>
        </w:rPr>
      </w:pPr>
      <w:r>
        <w:object>
          <v:shape id="_x0000_i1031" o:spt="75" type="#_x0000_t75" style="height:201pt;width:415.5pt;" o:ole="t" filled="f" o:preferrelative="t" stroked="f" coordsize="21600,21600">
            <v:path/>
            <v:fill on="f" focussize="0,0"/>
            <v:stroke on="f" joinstyle="miter"/>
            <v:imagedata r:id="rId17" o:title=""/>
            <o:lock v:ext="edit" aspectratio="t"/>
            <w10:wrap type="none"/>
            <w10:anchorlock/>
          </v:shape>
          <o:OLEObject Type="Embed" ProgID="Visio.Drawing.11" ShapeID="_x0000_i1031" DrawAspect="Content" ObjectID="_1468075731" r:id="rId16">
            <o:LockedField>false</o:LockedField>
          </o:OLEObject>
        </w:object>
      </w:r>
    </w:p>
    <w:p>
      <w:pPr>
        <w:spacing w:line="360" w:lineRule="auto"/>
        <w:rPr>
          <w:sz w:val="24"/>
          <w:szCs w:val="24"/>
        </w:rPr>
      </w:pPr>
      <w:r>
        <w:object>
          <v:shape id="_x0000_i1032" o:spt="75" type="#_x0000_t75" style="height:235.5pt;width:414.75pt;" o:ole="t" filled="f" o:preferrelative="t" stroked="f" coordsize="21600,21600">
            <v:path/>
            <v:fill on="f" focussize="0,0"/>
            <v:stroke on="f" joinstyle="miter"/>
            <v:imagedata r:id="rId19" o:title=""/>
            <o:lock v:ext="edit" aspectratio="t"/>
            <w10:wrap type="none"/>
            <w10:anchorlock/>
          </v:shape>
          <o:OLEObject Type="Embed" ProgID="Visio.Drawing.11" ShapeID="_x0000_i1032" DrawAspect="Content" ObjectID="_1468075732" r:id="rId18">
            <o:LockedField>false</o:LockedField>
          </o:OLEObject>
        </w:object>
      </w:r>
    </w:p>
    <w:p>
      <w:pPr>
        <w:spacing w:line="360" w:lineRule="auto"/>
        <w:rPr>
          <w:sz w:val="24"/>
          <w:szCs w:val="24"/>
        </w:rPr>
      </w:pPr>
      <w:r>
        <w:object>
          <v:shape id="_x0000_i1033" o:spt="75" type="#_x0000_t75" style="height:209.25pt;width:415.5pt;" o:ole="t" filled="f" o:preferrelative="t" stroked="f" coordsize="21600,21600">
            <v:path/>
            <v:fill on="f" focussize="0,0"/>
            <v:stroke on="f" joinstyle="miter"/>
            <v:imagedata r:id="rId21" o:title=""/>
            <o:lock v:ext="edit" aspectratio="t"/>
            <w10:wrap type="none"/>
            <w10:anchorlock/>
          </v:shape>
          <o:OLEObject Type="Embed" ProgID="Visio.Drawing.11" ShapeID="_x0000_i1033" DrawAspect="Content" ObjectID="_1468075733" r:id="rId20">
            <o:LockedField>false</o:LockedField>
          </o:OLEObject>
        </w:object>
      </w:r>
    </w:p>
    <w:p>
      <w:pPr>
        <w:spacing w:line="360" w:lineRule="auto"/>
        <w:rPr>
          <w:sz w:val="24"/>
          <w:szCs w:val="24"/>
        </w:rPr>
      </w:pPr>
      <w:r>
        <w:object>
          <v:shape id="_x0000_i1034" o:spt="75" type="#_x0000_t75" style="height:176.25pt;width:415.5pt;" o:ole="t" filled="f" o:preferrelative="t" stroked="f" coordsize="21600,21600">
            <v:path/>
            <v:fill on="f" focussize="0,0"/>
            <v:stroke on="f" joinstyle="miter"/>
            <v:imagedata r:id="rId23" o:title=""/>
            <o:lock v:ext="edit" aspectratio="t"/>
            <w10:wrap type="none"/>
            <w10:anchorlock/>
          </v:shape>
          <o:OLEObject Type="Embed" ProgID="Visio.Drawing.11" ShapeID="_x0000_i1034" DrawAspect="Content" ObjectID="_1468075734" r:id="rId22">
            <o:LockedField>false</o:LockedField>
          </o:OLEObject>
        </w:object>
      </w:r>
    </w:p>
    <w:p>
      <w:pPr>
        <w:spacing w:line="360" w:lineRule="auto"/>
        <w:rPr>
          <w:sz w:val="24"/>
          <w:szCs w:val="24"/>
        </w:rPr>
      </w:pPr>
      <w:r>
        <w:object>
          <v:shape id="_x0000_i1035" o:spt="75" type="#_x0000_t75" style="height:189pt;width:414.75pt;" o:ole="t" filled="f" o:preferrelative="t" stroked="f" coordsize="21600,21600">
            <v:path/>
            <v:fill on="f" focussize="0,0"/>
            <v:stroke on="f" joinstyle="miter"/>
            <v:imagedata r:id="rId25" o:title=""/>
            <o:lock v:ext="edit" aspectratio="t"/>
            <w10:wrap type="none"/>
            <w10:anchorlock/>
          </v:shape>
          <o:OLEObject Type="Embed" ProgID="Visio.Drawing.11" ShapeID="_x0000_i1035" DrawAspect="Content" ObjectID="_1468075735" r:id="rId24">
            <o:LockedField>false</o:LockedField>
          </o:OLEObject>
        </w:object>
      </w:r>
    </w:p>
    <w:p>
      <w:pPr>
        <w:spacing w:line="360" w:lineRule="auto"/>
        <w:rPr>
          <w:sz w:val="24"/>
          <w:szCs w:val="24"/>
        </w:rPr>
      </w:pPr>
      <w:r>
        <w:object>
          <v:shape id="_x0000_i1036" o:spt="75" type="#_x0000_t75" style="height:204.75pt;width:414.75pt;" o:ole="t" filled="f" o:preferrelative="t" stroked="f" coordsize="21600,21600">
            <v:path/>
            <v:fill on="f" focussize="0,0"/>
            <v:stroke on="f" joinstyle="miter"/>
            <v:imagedata r:id="rId27" o:title=""/>
            <o:lock v:ext="edit" aspectratio="t"/>
            <w10:wrap type="none"/>
            <w10:anchorlock/>
          </v:shape>
          <o:OLEObject Type="Embed" ProgID="Visio.Drawing.11" ShapeID="_x0000_i1036" DrawAspect="Content" ObjectID="_1468075736" r:id="rId26">
            <o:LockedField>false</o:LockedField>
          </o:OLEObject>
        </w:object>
      </w:r>
    </w:p>
    <w:p>
      <w:pPr>
        <w:spacing w:line="360" w:lineRule="auto"/>
        <w:rPr>
          <w:sz w:val="24"/>
          <w:szCs w:val="24"/>
        </w:rPr>
      </w:pPr>
      <w:r>
        <w:object>
          <v:shape id="_x0000_i1037" o:spt="75" type="#_x0000_t75" style="height:219pt;width:414.75pt;" o:ole="t" filled="f" o:preferrelative="t" stroked="f" coordsize="21600,21600">
            <v:path/>
            <v:fill on="f" focussize="0,0"/>
            <v:stroke on="f" joinstyle="miter"/>
            <v:imagedata r:id="rId29" o:title=""/>
            <o:lock v:ext="edit" aspectratio="t"/>
            <w10:wrap type="none"/>
            <w10:anchorlock/>
          </v:shape>
          <o:OLEObject Type="Embed" ProgID="Visio.Drawing.11" ShapeID="_x0000_i1037" DrawAspect="Content" ObjectID="_1468075737" r:id="rId28">
            <o:LockedField>false</o:LockedField>
          </o:OLEObject>
        </w:object>
      </w:r>
    </w:p>
    <w:p>
      <w:pPr>
        <w:spacing w:line="360" w:lineRule="auto"/>
        <w:rPr>
          <w:sz w:val="24"/>
          <w:szCs w:val="24"/>
        </w:rPr>
      </w:pPr>
      <w:r>
        <w:object>
          <v:shape id="_x0000_i1038" o:spt="75" type="#_x0000_t75" style="height:193.5pt;width:415.5pt;" o:ole="t" filled="f" o:preferrelative="t" stroked="f" coordsize="21600,21600">
            <v:path/>
            <v:fill on="f" focussize="0,0"/>
            <v:stroke on="f" joinstyle="miter"/>
            <v:imagedata r:id="rId31" o:title=""/>
            <o:lock v:ext="edit" aspectratio="t"/>
            <w10:wrap type="none"/>
            <w10:anchorlock/>
          </v:shape>
          <o:OLEObject Type="Embed" ProgID="Visio.Drawing.11" ShapeID="_x0000_i1038" DrawAspect="Content" ObjectID="_1468075738" r:id="rId30">
            <o:LockedField>false</o:LockedField>
          </o:OLEObject>
        </w:object>
      </w:r>
    </w:p>
    <w:p>
      <w:pPr>
        <w:spacing w:line="360" w:lineRule="auto"/>
        <w:rPr>
          <w:sz w:val="24"/>
          <w:szCs w:val="24"/>
        </w:rPr>
      </w:pPr>
      <w:r>
        <w:object>
          <v:shape id="_x0000_i1039" o:spt="75" type="#_x0000_t75" style="height:334.5pt;width:414.75pt;" o:ole="t" filled="f" o:preferrelative="t" stroked="f" coordsize="21600,21600">
            <v:path/>
            <v:fill on="f" focussize="0,0"/>
            <v:stroke on="f" joinstyle="miter"/>
            <v:imagedata r:id="rId33" o:title=""/>
            <o:lock v:ext="edit" aspectratio="t"/>
            <w10:wrap type="none"/>
            <w10:anchorlock/>
          </v:shape>
          <o:OLEObject Type="Embed" ProgID="Visio.Drawing.11" ShapeID="_x0000_i1039" DrawAspect="Content" ObjectID="_1468075739" r:id="rId32">
            <o:LockedField>false</o:LockedField>
          </o:OLEObject>
        </w:object>
      </w:r>
    </w:p>
    <w:p>
      <w:pPr>
        <w:spacing w:line="360" w:lineRule="auto"/>
        <w:rPr>
          <w:sz w:val="24"/>
          <w:szCs w:val="24"/>
        </w:rPr>
      </w:pPr>
      <w:r>
        <w:object>
          <v:shape id="_x0000_i1040" o:spt="75" type="#_x0000_t75" style="height:315.75pt;width:414.75pt;" o:ole="t" filled="f" o:preferrelative="t" stroked="f" coordsize="21600,21600">
            <v:path/>
            <v:fill on="f" focussize="0,0"/>
            <v:stroke on="f" joinstyle="miter"/>
            <v:imagedata r:id="rId35" o:title=""/>
            <o:lock v:ext="edit" aspectratio="t"/>
            <w10:wrap type="none"/>
            <w10:anchorlock/>
          </v:shape>
          <o:OLEObject Type="Embed" ProgID="Visio.Drawing.11" ShapeID="_x0000_i1040" DrawAspect="Content" ObjectID="_1468075740" r:id="rId34">
            <o:LockedField>false</o:LockedField>
          </o:OLEObject>
        </w:object>
      </w:r>
    </w:p>
    <w:p>
      <w:pPr>
        <w:spacing w:line="360" w:lineRule="auto"/>
        <w:rPr>
          <w:sz w:val="24"/>
          <w:szCs w:val="24"/>
        </w:rPr>
      </w:pPr>
      <w:r>
        <w:object>
          <v:shape id="_x0000_i1041" o:spt="75" type="#_x0000_t75" style="height:153.75pt;width:414.75pt;" o:ole="t" filled="f" o:preferrelative="t" stroked="f" coordsize="21600,21600">
            <v:path/>
            <v:fill on="f" focussize="0,0"/>
            <v:stroke on="f" joinstyle="miter"/>
            <v:imagedata r:id="rId37" o:title=""/>
            <o:lock v:ext="edit" aspectratio="t"/>
            <w10:wrap type="none"/>
            <w10:anchorlock/>
          </v:shape>
          <o:OLEObject Type="Embed" ProgID="Visio.Drawing.11" ShapeID="_x0000_i1041" DrawAspect="Content" ObjectID="_1468075741" r:id="rId36">
            <o:LockedField>false</o:LockedField>
          </o:OLEObject>
        </w:object>
      </w:r>
    </w:p>
    <w:p>
      <w:pPr>
        <w:spacing w:line="360" w:lineRule="auto"/>
        <w:rPr>
          <w:sz w:val="24"/>
          <w:szCs w:val="24"/>
        </w:rPr>
      </w:pPr>
      <w:r>
        <w:object>
          <v:shape id="_x0000_i1042" o:spt="75" type="#_x0000_t75" style="height:156.75pt;width:415.5pt;" o:ole="t" filled="f" o:preferrelative="t" stroked="f" coordsize="21600,21600">
            <v:path/>
            <v:fill on="f" focussize="0,0"/>
            <v:stroke on="f" joinstyle="miter"/>
            <v:imagedata r:id="rId39" o:title=""/>
            <o:lock v:ext="edit" aspectratio="t"/>
            <w10:wrap type="none"/>
            <w10:anchorlock/>
          </v:shape>
          <o:OLEObject Type="Embed" ProgID="Visio.Drawing.11" ShapeID="_x0000_i1042" DrawAspect="Content" ObjectID="_1468075742" r:id="rId38">
            <o:LockedField>false</o:LockedField>
          </o:OLEObject>
        </w:object>
      </w:r>
    </w:p>
    <w:p>
      <w:pPr>
        <w:spacing w:line="360" w:lineRule="auto"/>
        <w:rPr>
          <w:sz w:val="24"/>
          <w:szCs w:val="24"/>
        </w:rPr>
      </w:pPr>
      <w:r>
        <w:object>
          <v:shape id="_x0000_i1043" o:spt="75" type="#_x0000_t75" style="height:168.75pt;width:414.75pt;" o:ole="t" filled="f" o:preferrelative="t" stroked="f" coordsize="21600,21600">
            <v:path/>
            <v:fill on="f" focussize="0,0"/>
            <v:stroke on="f" joinstyle="miter"/>
            <v:imagedata r:id="rId41" o:title=""/>
            <o:lock v:ext="edit" aspectratio="t"/>
            <w10:wrap type="none"/>
            <w10:anchorlock/>
          </v:shape>
          <o:OLEObject Type="Embed" ProgID="Visio.Drawing.11" ShapeID="_x0000_i1043" DrawAspect="Content" ObjectID="_1468075743" r:id="rId40">
            <o:LockedField>false</o:LockedField>
          </o:OLEObject>
        </w:object>
      </w:r>
    </w:p>
    <w:p>
      <w:pPr>
        <w:spacing w:line="360" w:lineRule="auto"/>
        <w:rPr>
          <w:sz w:val="24"/>
          <w:szCs w:val="24"/>
        </w:rPr>
      </w:pPr>
      <w:r>
        <w:object>
          <v:shape id="_x0000_i1044" o:spt="75" type="#_x0000_t75" style="height:149.25pt;width:414.75pt;" o:ole="t" filled="f" o:preferrelative="t" stroked="f" coordsize="21600,21600">
            <v:path/>
            <v:fill on="f" focussize="0,0"/>
            <v:stroke on="f" joinstyle="miter"/>
            <v:imagedata r:id="rId43" o:title=""/>
            <o:lock v:ext="edit" aspectratio="t"/>
            <w10:wrap type="none"/>
            <w10:anchorlock/>
          </v:shape>
          <o:OLEObject Type="Embed" ProgID="Visio.Drawing.11" ShapeID="_x0000_i1044" DrawAspect="Content" ObjectID="_1468075744" r:id="rId42">
            <o:LockedField>false</o:LockedField>
          </o:OLEObject>
        </w:object>
      </w:r>
    </w:p>
    <w:p>
      <w:pPr>
        <w:spacing w:line="360" w:lineRule="auto"/>
        <w:rPr>
          <w:sz w:val="24"/>
          <w:szCs w:val="24"/>
        </w:rPr>
      </w:pPr>
      <w:r>
        <w:object>
          <v:shape id="_x0000_i1045" o:spt="75" type="#_x0000_t75" style="height:357.75pt;width:414.75pt;" o:ole="t" filled="f" o:preferrelative="t" stroked="f" coordsize="21600,21600">
            <v:path/>
            <v:fill on="f" focussize="0,0"/>
            <v:stroke on="f" joinstyle="miter"/>
            <v:imagedata r:id="rId45" o:title=""/>
            <o:lock v:ext="edit" aspectratio="t"/>
            <w10:wrap type="none"/>
            <w10:anchorlock/>
          </v:shape>
          <o:OLEObject Type="Embed" ProgID="Visio.Drawing.11" ShapeID="_x0000_i1045" DrawAspect="Content" ObjectID="_1468075745" r:id="rId44">
            <o:LockedField>false</o:LockedField>
          </o:OLEObject>
        </w:object>
      </w:r>
    </w:p>
    <w:p>
      <w:pPr>
        <w:spacing w:line="360" w:lineRule="auto"/>
      </w:pPr>
      <w:r>
        <w:object>
          <v:shape id="_x0000_i1046" o:spt="75" type="#_x0000_t75" style="height:331.5pt;width:414.75pt;" o:ole="t" filled="f" o:preferrelative="t" stroked="f" coordsize="21600,21600">
            <v:path/>
            <v:fill on="f" focussize="0,0"/>
            <v:stroke on="f" joinstyle="miter"/>
            <v:imagedata r:id="rId47" o:title=""/>
            <o:lock v:ext="edit" aspectratio="t"/>
            <w10:wrap type="none"/>
            <w10:anchorlock/>
          </v:shape>
          <o:OLEObject Type="Embed" ProgID="Visio.Drawing.11" ShapeID="_x0000_i1046" DrawAspect="Content" ObjectID="_1468075746" r:id="rId46">
            <o:LockedField>false</o:LockedField>
          </o:OLEObject>
        </w:object>
      </w:r>
    </w:p>
    <w:p>
      <w:pPr>
        <w:pStyle w:val="2"/>
        <w:rPr>
          <w:sz w:val="32"/>
          <w:szCs w:val="32"/>
        </w:rPr>
      </w:pPr>
      <w:r>
        <w:rPr>
          <w:rFonts w:hint="eastAsia"/>
          <w:sz w:val="32"/>
          <w:szCs w:val="32"/>
        </w:rPr>
        <w:t>产品科目对照说明</w:t>
      </w:r>
    </w:p>
    <w:tbl>
      <w:tblPr>
        <w:tblStyle w:val="21"/>
        <w:tblW w:w="6060" w:type="dxa"/>
        <w:tblInd w:w="1130" w:type="dxa"/>
        <w:tblLayout w:type="fixed"/>
        <w:tblCellMar>
          <w:top w:w="0" w:type="dxa"/>
          <w:left w:w="108" w:type="dxa"/>
          <w:bottom w:w="0" w:type="dxa"/>
          <w:right w:w="108" w:type="dxa"/>
        </w:tblCellMar>
      </w:tblPr>
      <w:tblGrid>
        <w:gridCol w:w="1454"/>
        <w:gridCol w:w="1171"/>
        <w:gridCol w:w="3435"/>
      </w:tblGrid>
      <w:tr>
        <w:tblPrEx>
          <w:tblLayout w:type="fixed"/>
          <w:tblCellMar>
            <w:top w:w="0" w:type="dxa"/>
            <w:left w:w="108" w:type="dxa"/>
            <w:bottom w:w="0" w:type="dxa"/>
            <w:right w:w="108" w:type="dxa"/>
          </w:tblCellMar>
        </w:tblPrEx>
        <w:trPr>
          <w:trHeight w:val="375" w:hRule="atLeast"/>
        </w:trPr>
        <w:tc>
          <w:tcPr>
            <w:tcW w:w="6060" w:type="dxa"/>
            <w:gridSpan w:val="3"/>
            <w:tcBorders>
              <w:top w:val="nil"/>
              <w:left w:val="nil"/>
              <w:bottom w:val="nil"/>
              <w:right w:val="nil"/>
            </w:tcBorders>
            <w:shd w:val="clear" w:color="auto" w:fill="auto"/>
            <w:vAlign w:val="center"/>
          </w:tcPr>
          <w:p>
            <w:pPr>
              <w:widowControl/>
              <w:jc w:val="center"/>
              <w:rPr>
                <w:rFonts w:ascii="宋体" w:hAnsi="宋体" w:eastAsia="宋体" w:cs="宋体"/>
                <w:b/>
                <w:bCs/>
                <w:color w:val="000000"/>
                <w:kern w:val="0"/>
                <w:sz w:val="22"/>
              </w:rPr>
            </w:pPr>
            <w:r>
              <w:rPr>
                <w:rFonts w:hint="eastAsia" w:ascii="宋体" w:hAnsi="宋体" w:eastAsia="宋体" w:cs="宋体"/>
                <w:b/>
                <w:bCs/>
                <w:color w:val="000000"/>
                <w:kern w:val="0"/>
                <w:sz w:val="22"/>
              </w:rPr>
              <w:t>产品科目对照表</w:t>
            </w:r>
          </w:p>
        </w:tc>
      </w:tr>
      <w:tr>
        <w:tblPrEx>
          <w:tblLayout w:type="fixed"/>
          <w:tblCellMar>
            <w:top w:w="0" w:type="dxa"/>
            <w:left w:w="108" w:type="dxa"/>
            <w:bottom w:w="0" w:type="dxa"/>
            <w:right w:w="108" w:type="dxa"/>
          </w:tblCellMar>
        </w:tblPrEx>
        <w:trPr>
          <w:trHeight w:val="270" w:hRule="atLeast"/>
        </w:trPr>
        <w:tc>
          <w:tcPr>
            <w:tcW w:w="1454"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产品码</w:t>
            </w:r>
          </w:p>
        </w:tc>
        <w:tc>
          <w:tcPr>
            <w:tcW w:w="1171"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科目号</w:t>
            </w:r>
          </w:p>
        </w:tc>
        <w:tc>
          <w:tcPr>
            <w:tcW w:w="343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科目名称</w:t>
            </w:r>
          </w:p>
        </w:tc>
      </w:tr>
      <w:tr>
        <w:tblPrEx>
          <w:tblLayout w:type="fixed"/>
          <w:tblCellMar>
            <w:top w:w="0" w:type="dxa"/>
            <w:left w:w="108" w:type="dxa"/>
            <w:bottom w:w="0" w:type="dxa"/>
            <w:right w:w="108" w:type="dxa"/>
          </w:tblCellMar>
        </w:tblPrEx>
        <w:trPr>
          <w:trHeight w:val="270" w:hRule="atLeast"/>
        </w:trPr>
        <w:tc>
          <w:tcPr>
            <w:tcW w:w="1454"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9930410306</w:t>
            </w:r>
          </w:p>
        </w:tc>
        <w:tc>
          <w:tcPr>
            <w:tcW w:w="11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30410306</w:t>
            </w:r>
          </w:p>
        </w:tc>
        <w:tc>
          <w:tcPr>
            <w:tcW w:w="343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网络柜面核心间往来</w:t>
            </w:r>
          </w:p>
        </w:tc>
      </w:tr>
      <w:tr>
        <w:tblPrEx>
          <w:tblLayout w:type="fixed"/>
          <w:tblCellMar>
            <w:top w:w="0" w:type="dxa"/>
            <w:left w:w="108" w:type="dxa"/>
            <w:bottom w:w="0" w:type="dxa"/>
            <w:right w:w="108" w:type="dxa"/>
          </w:tblCellMar>
        </w:tblPrEx>
        <w:trPr>
          <w:trHeight w:val="270" w:hRule="atLeast"/>
        </w:trPr>
        <w:tc>
          <w:tcPr>
            <w:tcW w:w="1454"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9930410402</w:t>
            </w:r>
          </w:p>
        </w:tc>
        <w:tc>
          <w:tcPr>
            <w:tcW w:w="11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30410402</w:t>
            </w:r>
          </w:p>
        </w:tc>
        <w:tc>
          <w:tcPr>
            <w:tcW w:w="343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网络柜面核心间待清算资金</w:t>
            </w:r>
          </w:p>
        </w:tc>
      </w:tr>
      <w:tr>
        <w:tblPrEx>
          <w:tblLayout w:type="fixed"/>
          <w:tblCellMar>
            <w:top w:w="0" w:type="dxa"/>
            <w:left w:w="108" w:type="dxa"/>
            <w:bottom w:w="0" w:type="dxa"/>
            <w:right w:w="108" w:type="dxa"/>
          </w:tblCellMar>
        </w:tblPrEx>
        <w:trPr>
          <w:trHeight w:val="270" w:hRule="atLeast"/>
        </w:trPr>
        <w:tc>
          <w:tcPr>
            <w:tcW w:w="1454"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9930410403</w:t>
            </w:r>
          </w:p>
        </w:tc>
        <w:tc>
          <w:tcPr>
            <w:tcW w:w="11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30410403</w:t>
            </w:r>
          </w:p>
        </w:tc>
        <w:tc>
          <w:tcPr>
            <w:tcW w:w="343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网络核心信用卡待清算资金</w:t>
            </w:r>
          </w:p>
        </w:tc>
      </w:tr>
      <w:tr>
        <w:tblPrEx>
          <w:tblLayout w:type="fixed"/>
          <w:tblCellMar>
            <w:top w:w="0" w:type="dxa"/>
            <w:left w:w="108" w:type="dxa"/>
            <w:bottom w:w="0" w:type="dxa"/>
            <w:right w:w="108" w:type="dxa"/>
          </w:tblCellMar>
        </w:tblPrEx>
        <w:trPr>
          <w:trHeight w:val="270" w:hRule="atLeast"/>
        </w:trPr>
        <w:tc>
          <w:tcPr>
            <w:tcW w:w="1454"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9930410404</w:t>
            </w:r>
          </w:p>
        </w:tc>
        <w:tc>
          <w:tcPr>
            <w:tcW w:w="1171"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30410404</w:t>
            </w:r>
          </w:p>
        </w:tc>
        <w:tc>
          <w:tcPr>
            <w:tcW w:w="343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网络核心系统内待清算资金</w:t>
            </w:r>
          </w:p>
        </w:tc>
      </w:tr>
    </w:tbl>
    <w:p>
      <w:pPr>
        <w:pStyle w:val="2"/>
        <w:rPr>
          <w:sz w:val="32"/>
          <w:szCs w:val="32"/>
        </w:rPr>
      </w:pPr>
      <w:r>
        <w:rPr>
          <w:rFonts w:hint="eastAsia"/>
          <w:sz w:val="32"/>
          <w:szCs w:val="32"/>
        </w:rPr>
        <w:t>柜面核心改造</w:t>
      </w:r>
    </w:p>
    <w:p>
      <w:pPr>
        <w:pStyle w:val="4"/>
      </w:pPr>
      <w:r>
        <w:rPr>
          <w:rFonts w:hint="eastAsia"/>
        </w:rPr>
        <w:t>网络核心依托柜面核心的清算体系</w:t>
      </w:r>
    </w:p>
    <w:p>
      <w:pPr>
        <w:spacing w:line="360" w:lineRule="auto"/>
        <w:ind w:firstLine="480" w:firstLineChars="200"/>
        <w:rPr>
          <w:sz w:val="24"/>
          <w:szCs w:val="24"/>
        </w:rPr>
      </w:pPr>
      <w:r>
        <w:rPr>
          <w:rFonts w:hint="eastAsia"/>
          <w:sz w:val="24"/>
          <w:szCs w:val="24"/>
        </w:rPr>
        <w:t>网络核心系统内的交易、网络核心与柜面核心交易、网络核心与信用卡核心交易，以及各支付系统清算渠道涉及网络核心账户等相关交易的资金清算，依托柜面核心的清算体系。</w:t>
      </w:r>
    </w:p>
    <w:p>
      <w:pPr>
        <w:spacing w:line="360" w:lineRule="auto"/>
        <w:ind w:firstLine="480" w:firstLineChars="200"/>
        <w:rPr>
          <w:sz w:val="24"/>
          <w:szCs w:val="24"/>
        </w:rPr>
      </w:pPr>
      <w:r>
        <w:rPr>
          <w:rFonts w:hint="eastAsia"/>
          <w:sz w:val="24"/>
          <w:szCs w:val="24"/>
        </w:rPr>
        <w:t>网络核心、信用卡核心分别负责交易清算数据的统计，定时提交清算数据至柜面核心完成清算；柜面核心交易实时完成清算，无需统计清算数据提交清算。</w:t>
      </w:r>
    </w:p>
    <w:p>
      <w:pPr>
        <w:pStyle w:val="4"/>
        <w:tabs>
          <w:tab w:val="clear" w:pos="432"/>
        </w:tabs>
      </w:pPr>
      <w:r>
        <w:rPr>
          <w:rFonts w:hint="eastAsia"/>
        </w:rPr>
        <w:t>新增相关账户</w:t>
      </w:r>
    </w:p>
    <w:p>
      <w:pPr>
        <w:spacing w:line="360" w:lineRule="auto"/>
        <w:ind w:firstLine="480" w:firstLineChars="200"/>
        <w:rPr>
          <w:sz w:val="24"/>
          <w:szCs w:val="24"/>
        </w:rPr>
      </w:pPr>
      <w:r>
        <w:rPr>
          <w:rFonts w:hint="eastAsia"/>
          <w:sz w:val="24"/>
          <w:szCs w:val="24"/>
        </w:rPr>
        <w:t>一、新增科目及核算码</w:t>
      </w:r>
    </w:p>
    <w:p>
      <w:pPr>
        <w:spacing w:line="360" w:lineRule="auto"/>
        <w:ind w:firstLine="480" w:firstLineChars="200"/>
        <w:rPr>
          <w:sz w:val="24"/>
          <w:szCs w:val="24"/>
        </w:rPr>
      </w:pPr>
      <w:r>
        <w:rPr>
          <w:rFonts w:hint="eastAsia"/>
          <w:sz w:val="24"/>
          <w:szCs w:val="24"/>
        </w:rPr>
        <w:t>柜面核心新增三级科目3个科目： 30410306网络柜面核心间往来、30410402网络柜面核心间待清算资金、30410403网络核心信用卡待清算资金。</w:t>
      </w:r>
    </w:p>
    <w:p>
      <w:pPr>
        <w:spacing w:line="360" w:lineRule="auto"/>
        <w:ind w:firstLine="480" w:firstLineChars="200"/>
        <w:rPr>
          <w:sz w:val="24"/>
          <w:szCs w:val="24"/>
        </w:rPr>
      </w:pPr>
      <w:r>
        <w:rPr>
          <w:rFonts w:hint="eastAsia"/>
          <w:sz w:val="24"/>
          <w:szCs w:val="24"/>
        </w:rPr>
        <w:t>新增科目的核算码：</w:t>
      </w:r>
    </w:p>
    <w:tbl>
      <w:tblPr>
        <w:tblStyle w:val="21"/>
        <w:tblW w:w="5495" w:type="dxa"/>
        <w:tblInd w:w="1415" w:type="dxa"/>
        <w:tblLayout w:type="fixed"/>
        <w:tblCellMar>
          <w:top w:w="0" w:type="dxa"/>
          <w:left w:w="108" w:type="dxa"/>
          <w:bottom w:w="0" w:type="dxa"/>
          <w:right w:w="108" w:type="dxa"/>
        </w:tblCellMar>
      </w:tblPr>
      <w:tblGrid>
        <w:gridCol w:w="1242"/>
        <w:gridCol w:w="1418"/>
        <w:gridCol w:w="2835"/>
      </w:tblGrid>
      <w:tr>
        <w:tblPrEx>
          <w:tblLayout w:type="fixed"/>
          <w:tblCellMar>
            <w:top w:w="0" w:type="dxa"/>
            <w:left w:w="108" w:type="dxa"/>
            <w:bottom w:w="0" w:type="dxa"/>
            <w:right w:w="108" w:type="dxa"/>
          </w:tblCellMar>
        </w:tblPrEx>
        <w:trPr>
          <w:trHeight w:val="396" w:hRule="atLeast"/>
        </w:trPr>
        <w:tc>
          <w:tcPr>
            <w:tcW w:w="12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新增科目号</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核算码</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科目名称</w:t>
            </w:r>
          </w:p>
        </w:tc>
      </w:tr>
      <w:tr>
        <w:tblPrEx>
          <w:tblLayout w:type="fixed"/>
          <w:tblCellMar>
            <w:top w:w="0" w:type="dxa"/>
            <w:left w:w="108" w:type="dxa"/>
            <w:bottom w:w="0" w:type="dxa"/>
            <w:right w:w="108" w:type="dxa"/>
          </w:tblCellMar>
        </w:tblPrEx>
        <w:trPr>
          <w:trHeight w:val="270" w:hRule="atLeast"/>
        </w:trPr>
        <w:tc>
          <w:tcPr>
            <w:tcW w:w="12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30410306</w:t>
            </w:r>
          </w:p>
        </w:tc>
        <w:tc>
          <w:tcPr>
            <w:tcW w:w="1418"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464108</w:t>
            </w:r>
          </w:p>
        </w:tc>
        <w:tc>
          <w:tcPr>
            <w:tcW w:w="2835"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网络柜面核心间往来</w:t>
            </w:r>
          </w:p>
        </w:tc>
      </w:tr>
      <w:tr>
        <w:tblPrEx>
          <w:tblLayout w:type="fixed"/>
          <w:tblCellMar>
            <w:top w:w="0" w:type="dxa"/>
            <w:left w:w="108" w:type="dxa"/>
            <w:bottom w:w="0" w:type="dxa"/>
            <w:right w:w="108" w:type="dxa"/>
          </w:tblCellMar>
        </w:tblPrEx>
        <w:trPr>
          <w:trHeight w:val="270" w:hRule="atLeast"/>
        </w:trPr>
        <w:tc>
          <w:tcPr>
            <w:tcW w:w="12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1418"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464112</w:t>
            </w:r>
          </w:p>
        </w:tc>
        <w:tc>
          <w:tcPr>
            <w:tcW w:w="2835"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r>
      <w:tr>
        <w:tblPrEx>
          <w:tblLayout w:type="fixed"/>
          <w:tblCellMar>
            <w:top w:w="0" w:type="dxa"/>
            <w:left w:w="108" w:type="dxa"/>
            <w:bottom w:w="0" w:type="dxa"/>
            <w:right w:w="108" w:type="dxa"/>
          </w:tblCellMar>
        </w:tblPrEx>
        <w:trPr>
          <w:trHeight w:val="270" w:hRule="atLeast"/>
        </w:trPr>
        <w:tc>
          <w:tcPr>
            <w:tcW w:w="12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30410403</w:t>
            </w:r>
          </w:p>
        </w:tc>
        <w:tc>
          <w:tcPr>
            <w:tcW w:w="1418"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464113</w:t>
            </w:r>
          </w:p>
        </w:tc>
        <w:tc>
          <w:tcPr>
            <w:tcW w:w="2835"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网络核心信用卡待清算资金</w:t>
            </w:r>
          </w:p>
        </w:tc>
      </w:tr>
    </w:tbl>
    <w:p>
      <w:pPr>
        <w:spacing w:line="360" w:lineRule="auto"/>
        <w:ind w:firstLine="480" w:firstLineChars="200"/>
        <w:rPr>
          <w:sz w:val="24"/>
          <w:szCs w:val="24"/>
        </w:rPr>
      </w:pPr>
      <w:r>
        <w:rPr>
          <w:rFonts w:hint="eastAsia"/>
          <w:sz w:val="24"/>
          <w:szCs w:val="24"/>
        </w:rPr>
        <w:t>二、新增内部账户</w:t>
      </w:r>
    </w:p>
    <w:p>
      <w:pPr>
        <w:spacing w:line="360" w:lineRule="auto"/>
        <w:ind w:firstLine="480" w:firstLineChars="200"/>
        <w:rPr>
          <w:sz w:val="24"/>
          <w:szCs w:val="24"/>
        </w:rPr>
      </w:pPr>
      <w:r>
        <w:rPr>
          <w:rFonts w:hint="eastAsia"/>
          <w:sz w:val="24"/>
          <w:szCs w:val="24"/>
        </w:rPr>
        <w:t>柜面核心新增相关账户的开立参照2.账户设立——2.2.柜面核心中的说明。</w:t>
      </w:r>
    </w:p>
    <w:p>
      <w:pPr>
        <w:spacing w:line="360" w:lineRule="auto"/>
        <w:ind w:firstLine="480" w:firstLineChars="200"/>
        <w:rPr>
          <w:b/>
          <w:sz w:val="28"/>
          <w:szCs w:val="28"/>
        </w:rPr>
      </w:pPr>
      <w:r>
        <w:rPr>
          <w:rFonts w:hint="eastAsia"/>
          <w:sz w:val="24"/>
          <w:szCs w:val="24"/>
        </w:rPr>
        <w:t xml:space="preserve">   </w:t>
      </w:r>
      <w:r>
        <w:rPr>
          <w:rFonts w:hint="eastAsia"/>
          <w:b/>
          <w:sz w:val="28"/>
          <w:szCs w:val="28"/>
        </w:rPr>
        <w:t xml:space="preserve">         相关账户开立清单</w:t>
      </w:r>
    </w:p>
    <w:tbl>
      <w:tblPr>
        <w:tblStyle w:val="21"/>
        <w:tblW w:w="8364" w:type="dxa"/>
        <w:tblInd w:w="0" w:type="dxa"/>
        <w:tblLayout w:type="fixed"/>
        <w:tblCellMar>
          <w:top w:w="0" w:type="dxa"/>
          <w:left w:w="108" w:type="dxa"/>
          <w:bottom w:w="0" w:type="dxa"/>
          <w:right w:w="108" w:type="dxa"/>
        </w:tblCellMar>
      </w:tblPr>
      <w:tblGrid>
        <w:gridCol w:w="1016"/>
        <w:gridCol w:w="2670"/>
        <w:gridCol w:w="992"/>
        <w:gridCol w:w="3686"/>
      </w:tblGrid>
      <w:tr>
        <w:tblPrEx>
          <w:tblLayout w:type="fixed"/>
          <w:tblCellMar>
            <w:top w:w="0" w:type="dxa"/>
            <w:left w:w="108" w:type="dxa"/>
            <w:bottom w:w="0" w:type="dxa"/>
            <w:right w:w="108" w:type="dxa"/>
          </w:tblCellMar>
        </w:tblPrEx>
        <w:trPr>
          <w:trHeight w:val="396" w:hRule="atLeast"/>
        </w:trPr>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科目号</w:t>
            </w:r>
          </w:p>
        </w:tc>
        <w:tc>
          <w:tcPr>
            <w:tcW w:w="26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科目名称</w:t>
            </w:r>
          </w:p>
        </w:tc>
        <w:tc>
          <w:tcPr>
            <w:tcW w:w="992" w:type="dxa"/>
            <w:tcBorders>
              <w:top w:val="single" w:color="auto" w:sz="4" w:space="0"/>
              <w:left w:val="nil"/>
              <w:bottom w:val="single" w:color="auto" w:sz="4" w:space="0"/>
              <w:right w:val="single" w:color="auto" w:sz="4" w:space="0"/>
            </w:tcBorders>
            <w:shd w:val="clear" w:color="auto" w:fill="auto"/>
            <w:vAlign w:val="center"/>
          </w:tcPr>
          <w:p>
            <w:pPr>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开户机构</w:t>
            </w:r>
          </w:p>
        </w:tc>
        <w:tc>
          <w:tcPr>
            <w:tcW w:w="368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b/>
                <w:color w:val="000000"/>
                <w:kern w:val="0"/>
                <w:sz w:val="18"/>
                <w:szCs w:val="18"/>
              </w:rPr>
            </w:pPr>
            <w:r>
              <w:rPr>
                <w:rFonts w:hint="eastAsia" w:ascii="宋体" w:hAnsi="宋体" w:eastAsia="宋体" w:cs="宋体"/>
                <w:b/>
                <w:color w:val="000000"/>
                <w:kern w:val="0"/>
                <w:sz w:val="18"/>
                <w:szCs w:val="18"/>
              </w:rPr>
              <w:t>账户名称</w:t>
            </w:r>
          </w:p>
        </w:tc>
      </w:tr>
      <w:tr>
        <w:tblPrEx>
          <w:tblLayout w:type="fixed"/>
          <w:tblCellMar>
            <w:top w:w="0" w:type="dxa"/>
            <w:left w:w="108" w:type="dxa"/>
            <w:bottom w:w="0" w:type="dxa"/>
            <w:right w:w="108" w:type="dxa"/>
          </w:tblCellMar>
        </w:tblPrEx>
        <w:trPr>
          <w:trHeight w:val="270" w:hRule="atLeast"/>
        </w:trPr>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30410306</w:t>
            </w:r>
          </w:p>
        </w:tc>
        <w:tc>
          <w:tcPr>
            <w:tcW w:w="267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网络柜面核心间往来</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368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网络柜面核心间往来</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30410306</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网络柜面核心间往来</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行社</w:t>
            </w:r>
          </w:p>
        </w:tc>
        <w:tc>
          <w:tcPr>
            <w:tcW w:w="368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网络柜面核心间往来</w:t>
            </w:r>
          </w:p>
        </w:tc>
      </w:tr>
      <w:tr>
        <w:tblPrEx>
          <w:tblLayout w:type="fixed"/>
          <w:tblCellMar>
            <w:top w:w="0" w:type="dxa"/>
            <w:left w:w="108" w:type="dxa"/>
            <w:bottom w:w="0" w:type="dxa"/>
            <w:right w:w="108" w:type="dxa"/>
          </w:tblCellMar>
        </w:tblPrEx>
        <w:trPr>
          <w:trHeight w:val="270" w:hRule="atLeast"/>
        </w:trPr>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368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网络柜面核心间待清算资金-网络柜面</w:t>
            </w:r>
          </w:p>
        </w:tc>
      </w:tr>
      <w:tr>
        <w:tblPrEx>
          <w:tblLayout w:type="fixed"/>
          <w:tblCellMar>
            <w:top w:w="0" w:type="dxa"/>
            <w:left w:w="108" w:type="dxa"/>
            <w:bottom w:w="0" w:type="dxa"/>
            <w:right w:w="108" w:type="dxa"/>
          </w:tblCellMar>
        </w:tblPrEx>
        <w:trPr>
          <w:trHeight w:val="270" w:hRule="atLeast"/>
        </w:trPr>
        <w:tc>
          <w:tcPr>
            <w:tcW w:w="1016"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30410402</w:t>
            </w:r>
          </w:p>
        </w:tc>
        <w:tc>
          <w:tcPr>
            <w:tcW w:w="267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w:t>
            </w:r>
          </w:p>
        </w:tc>
        <w:tc>
          <w:tcPr>
            <w:tcW w:w="992"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368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网络柜面核心间待清算资金-中间业务</w:t>
            </w:r>
          </w:p>
        </w:tc>
      </w:tr>
      <w:tr>
        <w:tblPrEx>
          <w:tblLayout w:type="fixed"/>
          <w:tblCellMar>
            <w:top w:w="0" w:type="dxa"/>
            <w:left w:w="108" w:type="dxa"/>
            <w:bottom w:w="0" w:type="dxa"/>
            <w:right w:w="108" w:type="dxa"/>
          </w:tblCellMar>
        </w:tblPrEx>
        <w:trPr>
          <w:trHeight w:val="270" w:hRule="atLeast"/>
        </w:trPr>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30410403</w:t>
            </w:r>
          </w:p>
        </w:tc>
        <w:tc>
          <w:tcPr>
            <w:tcW w:w="267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网络核心信用卡待清算资金</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省中心</w:t>
            </w:r>
          </w:p>
        </w:tc>
        <w:tc>
          <w:tcPr>
            <w:tcW w:w="368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0"/>
                <w:szCs w:val="20"/>
              </w:rPr>
            </w:pPr>
            <w:r>
              <w:rPr>
                <w:rFonts w:hint="eastAsia" w:ascii="宋体" w:hAnsi="宋体" w:eastAsia="宋体" w:cs="宋体"/>
                <w:color w:val="000000"/>
                <w:kern w:val="0"/>
                <w:sz w:val="20"/>
                <w:szCs w:val="20"/>
              </w:rPr>
              <w:t>网络核心信用卡待清算资金</w:t>
            </w:r>
          </w:p>
        </w:tc>
      </w:tr>
    </w:tbl>
    <w:p>
      <w:pPr>
        <w:spacing w:line="360" w:lineRule="auto"/>
        <w:ind w:firstLine="480" w:firstLineChars="200"/>
        <w:rPr>
          <w:sz w:val="24"/>
          <w:szCs w:val="24"/>
        </w:rPr>
      </w:pPr>
      <w:r>
        <w:rPr>
          <w:rFonts w:hint="eastAsia"/>
          <w:sz w:val="24"/>
          <w:szCs w:val="24"/>
        </w:rPr>
        <w:t>柜面核心新增内部账的顺序号：</w:t>
      </w:r>
    </w:p>
    <w:p>
      <w:pPr>
        <w:spacing w:line="360" w:lineRule="auto"/>
        <w:ind w:firstLine="480" w:firstLineChars="200"/>
        <w:rPr>
          <w:sz w:val="24"/>
          <w:szCs w:val="24"/>
        </w:rPr>
      </w:pPr>
      <w:r>
        <w:rPr>
          <w:rFonts w:hint="eastAsia"/>
          <w:sz w:val="24"/>
          <w:szCs w:val="24"/>
        </w:rPr>
        <w:t>（一）30410306网络柜面核心间往来：核算码464111，顺序号1。</w:t>
      </w:r>
    </w:p>
    <w:p>
      <w:pPr>
        <w:spacing w:line="360" w:lineRule="auto"/>
        <w:ind w:firstLine="480" w:firstLineChars="200"/>
        <w:rPr>
          <w:sz w:val="24"/>
          <w:szCs w:val="24"/>
        </w:rPr>
      </w:pPr>
      <w:r>
        <w:rPr>
          <w:rFonts w:hint="eastAsia"/>
          <w:sz w:val="24"/>
          <w:szCs w:val="24"/>
        </w:rPr>
        <w:t>（二）30410402网络柜面核心间待清算资金：核算码464112，顺序号1——网络柜面核心间待清算资金—网络柜面、顺序号2——网络柜面核心间待清算资金—中间业务。</w:t>
      </w:r>
    </w:p>
    <w:p>
      <w:pPr>
        <w:spacing w:line="360" w:lineRule="auto"/>
        <w:ind w:firstLine="480" w:firstLineChars="200"/>
        <w:rPr>
          <w:rFonts w:hint="eastAsia"/>
          <w:sz w:val="24"/>
          <w:szCs w:val="24"/>
        </w:rPr>
      </w:pPr>
      <w:r>
        <w:rPr>
          <w:rFonts w:hint="eastAsia"/>
          <w:sz w:val="24"/>
          <w:szCs w:val="24"/>
        </w:rPr>
        <w:t>（三）30410403网络核心信用卡待清算资金：核算码464113，顺序号1。</w:t>
      </w:r>
    </w:p>
    <w:p>
      <w:pPr>
        <w:numPr>
          <w:ilvl w:val="0"/>
          <w:numId w:val="2"/>
        </w:numPr>
        <w:spacing w:line="360" w:lineRule="auto"/>
        <w:ind w:firstLine="480" w:firstLineChars="200"/>
        <w:rPr>
          <w:rFonts w:hint="eastAsia"/>
          <w:sz w:val="24"/>
          <w:szCs w:val="24"/>
          <w:lang w:val="en-US" w:eastAsia="zh-CN"/>
        </w:rPr>
      </w:pPr>
      <w:r>
        <w:rPr>
          <w:rFonts w:hint="eastAsia"/>
          <w:sz w:val="24"/>
          <w:szCs w:val="24"/>
          <w:lang w:val="en-US" w:eastAsia="zh-CN"/>
        </w:rPr>
        <w:t>其他说明</w:t>
      </w:r>
    </w:p>
    <w:p>
      <w:pPr>
        <w:numPr>
          <w:numId w:val="0"/>
        </w:numPr>
        <w:spacing w:line="360" w:lineRule="auto"/>
        <w:rPr>
          <w:rFonts w:hint="eastAsia"/>
          <w:sz w:val="24"/>
          <w:szCs w:val="24"/>
          <w:lang w:val="en-US" w:eastAsia="zh-CN"/>
        </w:rPr>
      </w:pPr>
      <w:r>
        <w:rPr>
          <w:rFonts w:hint="eastAsia"/>
          <w:sz w:val="24"/>
          <w:szCs w:val="24"/>
          <w:lang w:val="en-US" w:eastAsia="zh-CN"/>
        </w:rPr>
        <w:t xml:space="preserve">    内部账根据各支付交易系统需要开立，柜面核心处理清算时应根据各支付业务对应账户进行处理，柜面核心应与网络核心、信用卡核心约定匹配规则，具备扩展性</w:t>
      </w:r>
      <w:bookmarkStart w:id="2" w:name="_GoBack"/>
      <w:bookmarkEnd w:id="2"/>
      <w:r>
        <w:rPr>
          <w:rFonts w:hint="eastAsia"/>
          <w:sz w:val="24"/>
          <w:szCs w:val="24"/>
          <w:lang w:val="en-US" w:eastAsia="zh-CN"/>
        </w:rPr>
        <w:t>。</w:t>
      </w:r>
    </w:p>
    <w:p>
      <w:pPr>
        <w:pStyle w:val="4"/>
        <w:tabs>
          <w:tab w:val="clear" w:pos="432"/>
        </w:tabs>
      </w:pPr>
      <w:r>
        <w:rPr>
          <w:rFonts w:hint="eastAsia"/>
        </w:rPr>
        <w:t>会计核算举例说明</w:t>
      </w:r>
    </w:p>
    <w:p>
      <w:pPr>
        <w:spacing w:line="360" w:lineRule="auto"/>
        <w:ind w:firstLine="480" w:firstLineChars="200"/>
        <w:rPr>
          <w:sz w:val="24"/>
          <w:szCs w:val="24"/>
        </w:rPr>
      </w:pPr>
      <w:r>
        <w:rPr>
          <w:rFonts w:hint="eastAsia"/>
          <w:sz w:val="24"/>
          <w:szCs w:val="24"/>
        </w:rPr>
        <w:t>参照6.产品核算图例说明。</w:t>
      </w:r>
    </w:p>
    <w:p>
      <w:pPr>
        <w:pStyle w:val="4"/>
      </w:pPr>
      <w:r>
        <w:rPr>
          <w:rFonts w:hint="eastAsia"/>
        </w:rPr>
        <w:t>清算处理</w:t>
      </w:r>
    </w:p>
    <w:p>
      <w:pPr>
        <w:spacing w:line="360" w:lineRule="auto"/>
        <w:ind w:firstLine="480" w:firstLineChars="200"/>
        <w:rPr>
          <w:sz w:val="24"/>
          <w:szCs w:val="24"/>
        </w:rPr>
      </w:pPr>
      <w:r>
        <w:rPr>
          <w:rFonts w:hint="eastAsia"/>
          <w:sz w:val="24"/>
          <w:szCs w:val="24"/>
        </w:rPr>
        <w:t>一、批处理</w:t>
      </w:r>
    </w:p>
    <w:p>
      <w:pPr>
        <w:spacing w:line="360" w:lineRule="auto"/>
        <w:ind w:firstLine="480" w:firstLineChars="200"/>
        <w:rPr>
          <w:sz w:val="24"/>
          <w:szCs w:val="24"/>
        </w:rPr>
      </w:pPr>
      <w:r>
        <w:rPr>
          <w:rFonts w:hint="eastAsia"/>
          <w:sz w:val="24"/>
          <w:szCs w:val="24"/>
        </w:rPr>
        <w:t>网络核心、信用卡核心向柜面核心提交的批处理请求（核心间清算），柜面核心完成批处理后，返回成功信息。网络核心根据柜面核心返回的成功信息和柜面清算日期，进行网络核心的清算结转。</w:t>
      </w:r>
    </w:p>
    <w:p>
      <w:pPr>
        <w:spacing w:line="360" w:lineRule="auto"/>
        <w:ind w:firstLine="480" w:firstLineChars="200"/>
        <w:rPr>
          <w:sz w:val="24"/>
          <w:szCs w:val="24"/>
        </w:rPr>
      </w:pPr>
      <w:r>
        <w:rPr>
          <w:rFonts w:hint="eastAsia"/>
          <w:sz w:val="24"/>
          <w:szCs w:val="24"/>
        </w:rPr>
        <w:t>二、日终清算补记</w:t>
      </w:r>
    </w:p>
    <w:p>
      <w:pPr>
        <w:spacing w:line="360" w:lineRule="auto"/>
        <w:ind w:firstLine="480" w:firstLineChars="200"/>
        <w:rPr>
          <w:sz w:val="24"/>
          <w:szCs w:val="24"/>
        </w:rPr>
      </w:pPr>
      <w:r>
        <w:rPr>
          <w:rFonts w:hint="eastAsia"/>
          <w:sz w:val="24"/>
          <w:szCs w:val="24"/>
        </w:rPr>
        <w:t>柜面核心根据网络核心、信用卡核心提交的批处理数据信息，进行日终的清算补记处理，完成清算资金的最终处理。</w:t>
      </w:r>
    </w:p>
    <w:p>
      <w:pPr>
        <w:pStyle w:val="4"/>
        <w:tabs>
          <w:tab w:val="clear" w:pos="432"/>
        </w:tabs>
      </w:pPr>
      <w:r>
        <w:rPr>
          <w:rFonts w:hint="eastAsia"/>
        </w:rPr>
        <w:t>日间头寸监控</w:t>
      </w:r>
    </w:p>
    <w:p>
      <w:pPr>
        <w:spacing w:line="360" w:lineRule="auto"/>
        <w:ind w:firstLine="480" w:firstLineChars="200"/>
        <w:rPr>
          <w:sz w:val="24"/>
          <w:szCs w:val="24"/>
        </w:rPr>
      </w:pPr>
      <w:r>
        <w:rPr>
          <w:rFonts w:hint="eastAsia"/>
          <w:sz w:val="24"/>
          <w:szCs w:val="24"/>
        </w:rPr>
        <w:t>柜面核心定时头寸监控交易，需要增加网络核心的头寸准实时统计数据。</w:t>
      </w:r>
    </w:p>
    <w:p>
      <w:pPr>
        <w:spacing w:line="360" w:lineRule="auto"/>
        <w:ind w:firstLine="480" w:firstLineChars="200"/>
        <w:rPr>
          <w:sz w:val="24"/>
          <w:szCs w:val="24"/>
        </w:rPr>
      </w:pPr>
      <w:r>
        <w:rPr>
          <w:rFonts w:hint="eastAsia"/>
          <w:sz w:val="24"/>
          <w:szCs w:val="24"/>
        </w:rPr>
        <w:t>交易码：009301清算资金实时监控、009302清算账户余额监控、009303账户监控信息查询。</w:t>
      </w:r>
    </w:p>
    <w:p>
      <w:pPr>
        <w:spacing w:line="360" w:lineRule="auto"/>
        <w:ind w:firstLine="480" w:firstLineChars="200"/>
        <w:rPr>
          <w:sz w:val="24"/>
          <w:szCs w:val="24"/>
        </w:rPr>
      </w:pPr>
      <w:r>
        <w:rPr>
          <w:rFonts w:hint="eastAsia"/>
          <w:sz w:val="24"/>
          <w:szCs w:val="24"/>
        </w:rPr>
        <w:t>改造内容：根据网络核心数据进行统计规则调整</w:t>
      </w:r>
      <w:r>
        <w:rPr>
          <w:rFonts w:hint="eastAsia"/>
          <w:sz w:val="24"/>
          <w:szCs w:val="24"/>
          <w:lang w:eastAsia="zh-CN"/>
        </w:rPr>
        <w:t>，</w:t>
      </w:r>
      <w:r>
        <w:rPr>
          <w:rFonts w:hint="eastAsia"/>
          <w:sz w:val="24"/>
          <w:szCs w:val="24"/>
          <w:lang w:val="en-US" w:eastAsia="zh-CN"/>
        </w:rPr>
        <w:t>信用卡核心数据应包括网络核心相关交易统计数据</w:t>
      </w:r>
      <w:r>
        <w:rPr>
          <w:rFonts w:hint="eastAsia"/>
          <w:sz w:val="24"/>
          <w:szCs w:val="24"/>
        </w:rPr>
        <w:t>。</w:t>
      </w:r>
    </w:p>
    <w:p>
      <w:pPr>
        <w:pStyle w:val="4"/>
        <w:tabs>
          <w:tab w:val="clear" w:pos="432"/>
        </w:tabs>
      </w:pPr>
      <w:r>
        <w:rPr>
          <w:rFonts w:hint="eastAsia"/>
        </w:rPr>
        <w:t>柜面核心的总账报送</w:t>
      </w:r>
    </w:p>
    <w:p>
      <w:pPr>
        <w:spacing w:line="360" w:lineRule="auto"/>
        <w:ind w:firstLine="480" w:firstLineChars="200"/>
        <w:rPr>
          <w:sz w:val="24"/>
          <w:szCs w:val="24"/>
        </w:rPr>
      </w:pPr>
      <w:r>
        <w:rPr>
          <w:rFonts w:hint="eastAsia"/>
          <w:sz w:val="24"/>
          <w:szCs w:val="24"/>
        </w:rPr>
        <w:t>柜面核心向总账报送的文档，因网络核心的开通，需要增加因网络核心开通新增科目的数据报送。</w:t>
      </w:r>
    </w:p>
    <w:p>
      <w:pPr>
        <w:spacing w:line="360" w:lineRule="auto"/>
        <w:ind w:firstLine="480" w:firstLineChars="200"/>
        <w:rPr>
          <w:sz w:val="24"/>
          <w:szCs w:val="24"/>
        </w:rPr>
      </w:pPr>
    </w:p>
    <w:p>
      <w:pPr>
        <w:spacing w:line="360" w:lineRule="auto"/>
        <w:ind w:firstLine="480" w:firstLineChars="200"/>
        <w:rPr>
          <w:sz w:val="24"/>
          <w:szCs w:val="24"/>
        </w:rPr>
      </w:pPr>
    </w:p>
    <w:p>
      <w:pPr>
        <w:spacing w:line="360" w:lineRule="auto"/>
        <w:ind w:firstLine="480" w:firstLineChars="200"/>
        <w:rPr>
          <w:sz w:val="24"/>
          <w:szCs w:val="24"/>
        </w:rPr>
      </w:pPr>
    </w:p>
    <w:p>
      <w:pPr>
        <w:spacing w:line="360" w:lineRule="auto"/>
        <w:ind w:firstLine="480" w:firstLineChars="200"/>
        <w:rPr>
          <w:sz w:val="24"/>
          <w:szCs w:val="24"/>
        </w:rPr>
      </w:pPr>
    </w:p>
    <w:p>
      <w:pPr>
        <w:spacing w:line="360" w:lineRule="auto"/>
        <w:ind w:firstLine="480" w:firstLineChars="200"/>
        <w:rPr>
          <w:sz w:val="24"/>
          <w:szCs w:val="24"/>
        </w:rPr>
      </w:pPr>
    </w:p>
    <w:p>
      <w:pPr>
        <w:spacing w:line="360" w:lineRule="auto"/>
        <w:ind w:firstLine="480" w:firstLineChars="200"/>
        <w:rPr>
          <w:sz w:val="24"/>
          <w:szCs w:val="24"/>
        </w:rPr>
      </w:pPr>
    </w:p>
    <w:p>
      <w:pPr>
        <w:spacing w:line="360" w:lineRule="auto"/>
        <w:ind w:firstLine="480" w:firstLineChars="200"/>
        <w:rPr>
          <w:sz w:val="24"/>
          <w:szCs w:val="24"/>
        </w:rPr>
      </w:pPr>
    </w:p>
    <w:p>
      <w:pPr>
        <w:spacing w:line="360" w:lineRule="auto"/>
        <w:rPr>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黑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Lucida Sans">
    <w:altName w:val="Lucida Sans Unicode"/>
    <w:panose1 w:val="020B0602030504020204"/>
    <w:charset w:val="00"/>
    <w:family w:val="swiss"/>
    <w:pitch w:val="default"/>
    <w:sig w:usb0="00000000" w:usb1="00000000" w:usb2="00000000" w:usb3="00000000" w:csb0="00000001" w:csb1="00000000"/>
  </w:font>
  <w:font w:name="Lucida Sans Unicode">
    <w:panose1 w:val="020B0602030504020204"/>
    <w:charset w:val="00"/>
    <w:family w:val="auto"/>
    <w:pitch w:val="default"/>
    <w:sig w:usb0="80001AFF" w:usb1="0000396B" w:usb2="00000000" w:usb3="00000000" w:csb0="200000BF" w:csb1="D7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F3E2F1"/>
    <w:multiLevelType w:val="multilevel"/>
    <w:tmpl w:val="56F3E2F1"/>
    <w:lvl w:ilvl="0" w:tentative="0">
      <w:start w:val="1"/>
      <w:numFmt w:val="decimal"/>
      <w:pStyle w:val="2"/>
      <w:lvlText w:val="%1."/>
      <w:lvlJc w:val="left"/>
      <w:pPr>
        <w:tabs>
          <w:tab w:val="left" w:pos="432"/>
        </w:tabs>
        <w:ind w:left="432" w:hanging="432"/>
      </w:pPr>
      <w:rPr>
        <w:rFonts w:hint="default"/>
      </w:rPr>
    </w:lvl>
    <w:lvl w:ilvl="1" w:tentative="0">
      <w:start w:val="1"/>
      <w:numFmt w:val="decimal"/>
      <w:pStyle w:val="4"/>
      <w:lvlText w:val="%1.%2."/>
      <w:lvlJc w:val="left"/>
      <w:pPr>
        <w:tabs>
          <w:tab w:val="left" w:pos="575"/>
        </w:tabs>
        <w:ind w:left="575" w:hanging="575"/>
      </w:pPr>
      <w:rPr>
        <w:rFonts w:hint="default"/>
      </w:rPr>
    </w:lvl>
    <w:lvl w:ilvl="2" w:tentative="0">
      <w:start w:val="1"/>
      <w:numFmt w:val="decimal"/>
      <w:pStyle w:val="5"/>
      <w:lvlText w:val="%1.%2.%3."/>
      <w:lvlJc w:val="left"/>
      <w:pPr>
        <w:tabs>
          <w:tab w:val="left" w:pos="720"/>
        </w:tabs>
        <w:ind w:left="720" w:hanging="72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3" w:tentative="0">
      <w:start w:val="1"/>
      <w:numFmt w:val="decimal"/>
      <w:pStyle w:val="6"/>
      <w:lvlText w:val="%1.%2.%3.%4."/>
      <w:lvlJc w:val="left"/>
      <w:pPr>
        <w:tabs>
          <w:tab w:val="left" w:pos="864"/>
        </w:tabs>
        <w:ind w:left="864" w:hanging="864"/>
      </w:pPr>
      <w:rPr>
        <w:rFonts w:hint="default"/>
      </w:rPr>
    </w:lvl>
    <w:lvl w:ilvl="4" w:tentative="0">
      <w:start w:val="1"/>
      <w:numFmt w:val="decimal"/>
      <w:pStyle w:val="7"/>
      <w:lvlText w:val="%1.%2.%3.%4.%5."/>
      <w:lvlJc w:val="left"/>
      <w:pPr>
        <w:tabs>
          <w:tab w:val="left" w:pos="1008"/>
        </w:tabs>
        <w:ind w:left="1008" w:hanging="1008"/>
      </w:pPr>
      <w:rPr>
        <w:rFonts w:hint="default"/>
      </w:rPr>
    </w:lvl>
    <w:lvl w:ilvl="5" w:tentative="0">
      <w:start w:val="1"/>
      <w:numFmt w:val="decimal"/>
      <w:pStyle w:val="8"/>
      <w:lvlText w:val="%1.%2.%3.%4.%5.%6."/>
      <w:lvlJc w:val="left"/>
      <w:pPr>
        <w:tabs>
          <w:tab w:val="left" w:pos="1151"/>
        </w:tabs>
        <w:ind w:left="1151" w:hanging="1151"/>
      </w:pPr>
      <w:rPr>
        <w:rFonts w:hint="default"/>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3"/>
        </w:tabs>
        <w:ind w:left="1583" w:hanging="1583"/>
      </w:pPr>
      <w:rPr>
        <w:rFonts w:hint="default"/>
      </w:rPr>
    </w:lvl>
  </w:abstractNum>
  <w:abstractNum w:abstractNumId="1">
    <w:nsid w:val="57B673B9"/>
    <w:multiLevelType w:val="singleLevel"/>
    <w:tmpl w:val="57B673B9"/>
    <w:lvl w:ilvl="0" w:tentative="0">
      <w:start w:val="3"/>
      <w:numFmt w:val="chineseCounting"/>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31603D"/>
    <w:rsid w:val="000015A5"/>
    <w:rsid w:val="00003815"/>
    <w:rsid w:val="00011714"/>
    <w:rsid w:val="000137EE"/>
    <w:rsid w:val="000218FB"/>
    <w:rsid w:val="00021C43"/>
    <w:rsid w:val="0003180F"/>
    <w:rsid w:val="000320F2"/>
    <w:rsid w:val="000420BD"/>
    <w:rsid w:val="0005076A"/>
    <w:rsid w:val="00050DE9"/>
    <w:rsid w:val="00051E7A"/>
    <w:rsid w:val="00051FE9"/>
    <w:rsid w:val="00070C57"/>
    <w:rsid w:val="000827C1"/>
    <w:rsid w:val="00087467"/>
    <w:rsid w:val="0008791E"/>
    <w:rsid w:val="000A30F5"/>
    <w:rsid w:val="000A6F22"/>
    <w:rsid w:val="000C0BFF"/>
    <w:rsid w:val="000C3E39"/>
    <w:rsid w:val="000C637C"/>
    <w:rsid w:val="000C6C3F"/>
    <w:rsid w:val="000D3ED9"/>
    <w:rsid w:val="000D72A8"/>
    <w:rsid w:val="000D7386"/>
    <w:rsid w:val="000E05CB"/>
    <w:rsid w:val="000F5132"/>
    <w:rsid w:val="00102292"/>
    <w:rsid w:val="00104E38"/>
    <w:rsid w:val="00106B45"/>
    <w:rsid w:val="00110631"/>
    <w:rsid w:val="0012132A"/>
    <w:rsid w:val="00135DBE"/>
    <w:rsid w:val="0014655B"/>
    <w:rsid w:val="0014669F"/>
    <w:rsid w:val="00151885"/>
    <w:rsid w:val="00171B57"/>
    <w:rsid w:val="0017396E"/>
    <w:rsid w:val="001830D0"/>
    <w:rsid w:val="0018312A"/>
    <w:rsid w:val="0018385C"/>
    <w:rsid w:val="0018638C"/>
    <w:rsid w:val="0018722E"/>
    <w:rsid w:val="0019051B"/>
    <w:rsid w:val="00190690"/>
    <w:rsid w:val="00191E1F"/>
    <w:rsid w:val="00196C3D"/>
    <w:rsid w:val="001A0D4A"/>
    <w:rsid w:val="001A3441"/>
    <w:rsid w:val="001A55D7"/>
    <w:rsid w:val="001A6374"/>
    <w:rsid w:val="001A670E"/>
    <w:rsid w:val="001B00D1"/>
    <w:rsid w:val="001B16F3"/>
    <w:rsid w:val="001B39F6"/>
    <w:rsid w:val="001B7207"/>
    <w:rsid w:val="001C5312"/>
    <w:rsid w:val="001C539E"/>
    <w:rsid w:val="001C6BA4"/>
    <w:rsid w:val="001D06B2"/>
    <w:rsid w:val="001D2679"/>
    <w:rsid w:val="001D28E8"/>
    <w:rsid w:val="001E17ED"/>
    <w:rsid w:val="001F5A54"/>
    <w:rsid w:val="001F664F"/>
    <w:rsid w:val="001F7B64"/>
    <w:rsid w:val="00200AC7"/>
    <w:rsid w:val="00206806"/>
    <w:rsid w:val="00216735"/>
    <w:rsid w:val="00216E62"/>
    <w:rsid w:val="0022140B"/>
    <w:rsid w:val="00222591"/>
    <w:rsid w:val="00225CD1"/>
    <w:rsid w:val="002335F9"/>
    <w:rsid w:val="0024015C"/>
    <w:rsid w:val="0024261E"/>
    <w:rsid w:val="00245D8E"/>
    <w:rsid w:val="0024783C"/>
    <w:rsid w:val="002478F9"/>
    <w:rsid w:val="00251779"/>
    <w:rsid w:val="00256261"/>
    <w:rsid w:val="00257366"/>
    <w:rsid w:val="002611DF"/>
    <w:rsid w:val="00262741"/>
    <w:rsid w:val="00264FE8"/>
    <w:rsid w:val="00271FFD"/>
    <w:rsid w:val="00276D39"/>
    <w:rsid w:val="0028471D"/>
    <w:rsid w:val="00287F80"/>
    <w:rsid w:val="00291386"/>
    <w:rsid w:val="00291823"/>
    <w:rsid w:val="00292205"/>
    <w:rsid w:val="002A4EA5"/>
    <w:rsid w:val="002B09F6"/>
    <w:rsid w:val="002C4550"/>
    <w:rsid w:val="002E6FE7"/>
    <w:rsid w:val="0030022B"/>
    <w:rsid w:val="0030080B"/>
    <w:rsid w:val="00304E73"/>
    <w:rsid w:val="00310F92"/>
    <w:rsid w:val="0031603D"/>
    <w:rsid w:val="0032527F"/>
    <w:rsid w:val="0033089F"/>
    <w:rsid w:val="0033173E"/>
    <w:rsid w:val="0034077E"/>
    <w:rsid w:val="00342F12"/>
    <w:rsid w:val="003446A3"/>
    <w:rsid w:val="00346725"/>
    <w:rsid w:val="00350D9C"/>
    <w:rsid w:val="00351224"/>
    <w:rsid w:val="0035641C"/>
    <w:rsid w:val="00362C6F"/>
    <w:rsid w:val="0037432C"/>
    <w:rsid w:val="00375073"/>
    <w:rsid w:val="00376857"/>
    <w:rsid w:val="00383830"/>
    <w:rsid w:val="00386562"/>
    <w:rsid w:val="00391404"/>
    <w:rsid w:val="003A3969"/>
    <w:rsid w:val="003B0B06"/>
    <w:rsid w:val="003B2B58"/>
    <w:rsid w:val="003B2FA6"/>
    <w:rsid w:val="003B719E"/>
    <w:rsid w:val="003B7B2E"/>
    <w:rsid w:val="003C6BF5"/>
    <w:rsid w:val="003D1F93"/>
    <w:rsid w:val="003E0C4B"/>
    <w:rsid w:val="003E62B0"/>
    <w:rsid w:val="003F4962"/>
    <w:rsid w:val="0040266F"/>
    <w:rsid w:val="00402C7C"/>
    <w:rsid w:val="00410F33"/>
    <w:rsid w:val="0041128C"/>
    <w:rsid w:val="00417A3D"/>
    <w:rsid w:val="00423792"/>
    <w:rsid w:val="00427C34"/>
    <w:rsid w:val="00431D3D"/>
    <w:rsid w:val="00431EC3"/>
    <w:rsid w:val="004418F8"/>
    <w:rsid w:val="00447FAA"/>
    <w:rsid w:val="00454186"/>
    <w:rsid w:val="00456745"/>
    <w:rsid w:val="00465F6B"/>
    <w:rsid w:val="00472F55"/>
    <w:rsid w:val="0047662D"/>
    <w:rsid w:val="00483885"/>
    <w:rsid w:val="00484213"/>
    <w:rsid w:val="00490A0C"/>
    <w:rsid w:val="004A0D3E"/>
    <w:rsid w:val="004A0E41"/>
    <w:rsid w:val="004A2719"/>
    <w:rsid w:val="004A3316"/>
    <w:rsid w:val="004A5C21"/>
    <w:rsid w:val="004A6067"/>
    <w:rsid w:val="004A7572"/>
    <w:rsid w:val="004B5BE8"/>
    <w:rsid w:val="004C3148"/>
    <w:rsid w:val="004C32AA"/>
    <w:rsid w:val="004D0ECA"/>
    <w:rsid w:val="004D3637"/>
    <w:rsid w:val="004D3E7C"/>
    <w:rsid w:val="004E0704"/>
    <w:rsid w:val="004E4258"/>
    <w:rsid w:val="004E56E8"/>
    <w:rsid w:val="004F370C"/>
    <w:rsid w:val="004F4788"/>
    <w:rsid w:val="00505918"/>
    <w:rsid w:val="00505E67"/>
    <w:rsid w:val="00512377"/>
    <w:rsid w:val="00517CD4"/>
    <w:rsid w:val="00522862"/>
    <w:rsid w:val="00524E71"/>
    <w:rsid w:val="00526BF1"/>
    <w:rsid w:val="00544AA5"/>
    <w:rsid w:val="00544E13"/>
    <w:rsid w:val="005471CC"/>
    <w:rsid w:val="0055327E"/>
    <w:rsid w:val="005629A1"/>
    <w:rsid w:val="00574C83"/>
    <w:rsid w:val="00576E45"/>
    <w:rsid w:val="005808E2"/>
    <w:rsid w:val="00581311"/>
    <w:rsid w:val="005822AB"/>
    <w:rsid w:val="00590013"/>
    <w:rsid w:val="00591B3D"/>
    <w:rsid w:val="00591C41"/>
    <w:rsid w:val="00595740"/>
    <w:rsid w:val="00595FAB"/>
    <w:rsid w:val="005A20D3"/>
    <w:rsid w:val="005A6F8E"/>
    <w:rsid w:val="005B2798"/>
    <w:rsid w:val="005C2C1E"/>
    <w:rsid w:val="005C4545"/>
    <w:rsid w:val="005D03EE"/>
    <w:rsid w:val="005D28B4"/>
    <w:rsid w:val="005D2932"/>
    <w:rsid w:val="005D4BCC"/>
    <w:rsid w:val="005D6AE4"/>
    <w:rsid w:val="005E0BE6"/>
    <w:rsid w:val="005E2623"/>
    <w:rsid w:val="005F10CF"/>
    <w:rsid w:val="005F2B25"/>
    <w:rsid w:val="005F38E0"/>
    <w:rsid w:val="006061A8"/>
    <w:rsid w:val="00606A83"/>
    <w:rsid w:val="006232DA"/>
    <w:rsid w:val="0062705C"/>
    <w:rsid w:val="0063689D"/>
    <w:rsid w:val="00644AFB"/>
    <w:rsid w:val="006450C0"/>
    <w:rsid w:val="00646682"/>
    <w:rsid w:val="0065418A"/>
    <w:rsid w:val="00654583"/>
    <w:rsid w:val="00657F85"/>
    <w:rsid w:val="00666BDE"/>
    <w:rsid w:val="00673CE9"/>
    <w:rsid w:val="00675D3E"/>
    <w:rsid w:val="00680097"/>
    <w:rsid w:val="00687437"/>
    <w:rsid w:val="00692E87"/>
    <w:rsid w:val="0069796B"/>
    <w:rsid w:val="006A728B"/>
    <w:rsid w:val="006A76A6"/>
    <w:rsid w:val="006B5378"/>
    <w:rsid w:val="006C4248"/>
    <w:rsid w:val="006D5C62"/>
    <w:rsid w:val="006D5D97"/>
    <w:rsid w:val="006E0821"/>
    <w:rsid w:val="006E2117"/>
    <w:rsid w:val="006E3107"/>
    <w:rsid w:val="006E5940"/>
    <w:rsid w:val="006F34C7"/>
    <w:rsid w:val="006F36FF"/>
    <w:rsid w:val="006F6DDF"/>
    <w:rsid w:val="00700A5D"/>
    <w:rsid w:val="007124A8"/>
    <w:rsid w:val="00720F11"/>
    <w:rsid w:val="00734718"/>
    <w:rsid w:val="007378BC"/>
    <w:rsid w:val="00745723"/>
    <w:rsid w:val="00750ED3"/>
    <w:rsid w:val="00754279"/>
    <w:rsid w:val="007545D7"/>
    <w:rsid w:val="007563D7"/>
    <w:rsid w:val="00763BC2"/>
    <w:rsid w:val="0079165B"/>
    <w:rsid w:val="00792F4B"/>
    <w:rsid w:val="00793DC7"/>
    <w:rsid w:val="0079430F"/>
    <w:rsid w:val="007A0492"/>
    <w:rsid w:val="007A53B2"/>
    <w:rsid w:val="007B5A6D"/>
    <w:rsid w:val="007C4B11"/>
    <w:rsid w:val="007C525B"/>
    <w:rsid w:val="007D162C"/>
    <w:rsid w:val="007D395E"/>
    <w:rsid w:val="007D57F0"/>
    <w:rsid w:val="007D6108"/>
    <w:rsid w:val="007E66F4"/>
    <w:rsid w:val="007F2174"/>
    <w:rsid w:val="007F4026"/>
    <w:rsid w:val="008056B2"/>
    <w:rsid w:val="00806374"/>
    <w:rsid w:val="00806CFD"/>
    <w:rsid w:val="00825765"/>
    <w:rsid w:val="00825F17"/>
    <w:rsid w:val="008311E1"/>
    <w:rsid w:val="00832CD5"/>
    <w:rsid w:val="008443E4"/>
    <w:rsid w:val="00846EB6"/>
    <w:rsid w:val="008512FA"/>
    <w:rsid w:val="0085382C"/>
    <w:rsid w:val="00874C1E"/>
    <w:rsid w:val="008763DD"/>
    <w:rsid w:val="00886C87"/>
    <w:rsid w:val="00895BCC"/>
    <w:rsid w:val="008A405C"/>
    <w:rsid w:val="008B006D"/>
    <w:rsid w:val="008B3A78"/>
    <w:rsid w:val="008B457F"/>
    <w:rsid w:val="008C2CD2"/>
    <w:rsid w:val="008C35A4"/>
    <w:rsid w:val="008D0865"/>
    <w:rsid w:val="008D1246"/>
    <w:rsid w:val="008D2C56"/>
    <w:rsid w:val="008D3DEA"/>
    <w:rsid w:val="008D5DC3"/>
    <w:rsid w:val="008D6CEB"/>
    <w:rsid w:val="008E2374"/>
    <w:rsid w:val="008E2656"/>
    <w:rsid w:val="008F1F20"/>
    <w:rsid w:val="008F2C04"/>
    <w:rsid w:val="0090099B"/>
    <w:rsid w:val="00907E16"/>
    <w:rsid w:val="0092038A"/>
    <w:rsid w:val="009203AD"/>
    <w:rsid w:val="00920A6F"/>
    <w:rsid w:val="00926DE2"/>
    <w:rsid w:val="00942192"/>
    <w:rsid w:val="009428C5"/>
    <w:rsid w:val="00942A70"/>
    <w:rsid w:val="00947B53"/>
    <w:rsid w:val="00952180"/>
    <w:rsid w:val="00953ED6"/>
    <w:rsid w:val="00955BB4"/>
    <w:rsid w:val="00957019"/>
    <w:rsid w:val="00957081"/>
    <w:rsid w:val="009653E8"/>
    <w:rsid w:val="0097174C"/>
    <w:rsid w:val="00977452"/>
    <w:rsid w:val="00990C9D"/>
    <w:rsid w:val="009A5E79"/>
    <w:rsid w:val="009B1D25"/>
    <w:rsid w:val="009B354C"/>
    <w:rsid w:val="009B57F2"/>
    <w:rsid w:val="009C624D"/>
    <w:rsid w:val="009D395C"/>
    <w:rsid w:val="009E0AE8"/>
    <w:rsid w:val="009E1BF2"/>
    <w:rsid w:val="009E3C00"/>
    <w:rsid w:val="009E4C1A"/>
    <w:rsid w:val="009F2C79"/>
    <w:rsid w:val="009F5E1E"/>
    <w:rsid w:val="009F66D7"/>
    <w:rsid w:val="00A114D6"/>
    <w:rsid w:val="00A20A30"/>
    <w:rsid w:val="00A22CC3"/>
    <w:rsid w:val="00A30217"/>
    <w:rsid w:val="00A34023"/>
    <w:rsid w:val="00A419BD"/>
    <w:rsid w:val="00A44BC0"/>
    <w:rsid w:val="00A46A0D"/>
    <w:rsid w:val="00A54E7C"/>
    <w:rsid w:val="00A5534A"/>
    <w:rsid w:val="00A607DE"/>
    <w:rsid w:val="00A62845"/>
    <w:rsid w:val="00A6774B"/>
    <w:rsid w:val="00A7177E"/>
    <w:rsid w:val="00A7593E"/>
    <w:rsid w:val="00A80BAE"/>
    <w:rsid w:val="00A81C2E"/>
    <w:rsid w:val="00AA4BCF"/>
    <w:rsid w:val="00AA5D7C"/>
    <w:rsid w:val="00AB0A29"/>
    <w:rsid w:val="00AB44E9"/>
    <w:rsid w:val="00AB5EC4"/>
    <w:rsid w:val="00AC1B81"/>
    <w:rsid w:val="00AC242F"/>
    <w:rsid w:val="00AC2CED"/>
    <w:rsid w:val="00AC4AE9"/>
    <w:rsid w:val="00AC7BB0"/>
    <w:rsid w:val="00AE1A01"/>
    <w:rsid w:val="00AE2451"/>
    <w:rsid w:val="00AE799F"/>
    <w:rsid w:val="00AF535D"/>
    <w:rsid w:val="00AF5811"/>
    <w:rsid w:val="00B04C58"/>
    <w:rsid w:val="00B11E71"/>
    <w:rsid w:val="00B13DF0"/>
    <w:rsid w:val="00B14867"/>
    <w:rsid w:val="00B16F1D"/>
    <w:rsid w:val="00B206A5"/>
    <w:rsid w:val="00B23690"/>
    <w:rsid w:val="00B27B5C"/>
    <w:rsid w:val="00B3095E"/>
    <w:rsid w:val="00B30C20"/>
    <w:rsid w:val="00B34AC6"/>
    <w:rsid w:val="00B44A14"/>
    <w:rsid w:val="00B44AD8"/>
    <w:rsid w:val="00B579E3"/>
    <w:rsid w:val="00B85503"/>
    <w:rsid w:val="00B8567D"/>
    <w:rsid w:val="00B8693D"/>
    <w:rsid w:val="00B959CC"/>
    <w:rsid w:val="00BA575E"/>
    <w:rsid w:val="00BD09DC"/>
    <w:rsid w:val="00BD702A"/>
    <w:rsid w:val="00BE26AB"/>
    <w:rsid w:val="00BF1B35"/>
    <w:rsid w:val="00BF3538"/>
    <w:rsid w:val="00BF5D53"/>
    <w:rsid w:val="00C07117"/>
    <w:rsid w:val="00C10870"/>
    <w:rsid w:val="00C16877"/>
    <w:rsid w:val="00C23D0F"/>
    <w:rsid w:val="00C326C0"/>
    <w:rsid w:val="00C37519"/>
    <w:rsid w:val="00C503EC"/>
    <w:rsid w:val="00C52457"/>
    <w:rsid w:val="00C66843"/>
    <w:rsid w:val="00C767E5"/>
    <w:rsid w:val="00C77474"/>
    <w:rsid w:val="00C86A03"/>
    <w:rsid w:val="00C87A8E"/>
    <w:rsid w:val="00C87BAE"/>
    <w:rsid w:val="00C90066"/>
    <w:rsid w:val="00C938A5"/>
    <w:rsid w:val="00C942CF"/>
    <w:rsid w:val="00C94EB9"/>
    <w:rsid w:val="00C970A7"/>
    <w:rsid w:val="00CA1417"/>
    <w:rsid w:val="00CB1749"/>
    <w:rsid w:val="00CB243E"/>
    <w:rsid w:val="00CB32DD"/>
    <w:rsid w:val="00CB5BB4"/>
    <w:rsid w:val="00CC3BC4"/>
    <w:rsid w:val="00CC5104"/>
    <w:rsid w:val="00CD16F8"/>
    <w:rsid w:val="00CD448D"/>
    <w:rsid w:val="00CD53DD"/>
    <w:rsid w:val="00CD6E70"/>
    <w:rsid w:val="00CD7A70"/>
    <w:rsid w:val="00CE4767"/>
    <w:rsid w:val="00CE4AEA"/>
    <w:rsid w:val="00CF0FD0"/>
    <w:rsid w:val="00CF2924"/>
    <w:rsid w:val="00CF32F8"/>
    <w:rsid w:val="00CF3419"/>
    <w:rsid w:val="00CF7B74"/>
    <w:rsid w:val="00D01E0E"/>
    <w:rsid w:val="00D07F73"/>
    <w:rsid w:val="00D26760"/>
    <w:rsid w:val="00D330DA"/>
    <w:rsid w:val="00D42B33"/>
    <w:rsid w:val="00D451DB"/>
    <w:rsid w:val="00D47084"/>
    <w:rsid w:val="00D55896"/>
    <w:rsid w:val="00D62A7C"/>
    <w:rsid w:val="00D760B8"/>
    <w:rsid w:val="00D761E8"/>
    <w:rsid w:val="00D860B9"/>
    <w:rsid w:val="00D9092A"/>
    <w:rsid w:val="00D93321"/>
    <w:rsid w:val="00D96543"/>
    <w:rsid w:val="00DA1B89"/>
    <w:rsid w:val="00DA3B92"/>
    <w:rsid w:val="00DC0341"/>
    <w:rsid w:val="00DC082D"/>
    <w:rsid w:val="00DD5A26"/>
    <w:rsid w:val="00DD69C0"/>
    <w:rsid w:val="00DE3F10"/>
    <w:rsid w:val="00DE4C40"/>
    <w:rsid w:val="00DE756B"/>
    <w:rsid w:val="00DF4625"/>
    <w:rsid w:val="00DF48DC"/>
    <w:rsid w:val="00DF5520"/>
    <w:rsid w:val="00DF5C47"/>
    <w:rsid w:val="00DF6760"/>
    <w:rsid w:val="00E03E94"/>
    <w:rsid w:val="00E06733"/>
    <w:rsid w:val="00E106D7"/>
    <w:rsid w:val="00E14A38"/>
    <w:rsid w:val="00E2174C"/>
    <w:rsid w:val="00E23CB3"/>
    <w:rsid w:val="00E26A81"/>
    <w:rsid w:val="00E27C68"/>
    <w:rsid w:val="00E30B56"/>
    <w:rsid w:val="00E320A8"/>
    <w:rsid w:val="00E3471F"/>
    <w:rsid w:val="00E40F4C"/>
    <w:rsid w:val="00E42E16"/>
    <w:rsid w:val="00E51295"/>
    <w:rsid w:val="00E52FAA"/>
    <w:rsid w:val="00E54A13"/>
    <w:rsid w:val="00E63D23"/>
    <w:rsid w:val="00E64A36"/>
    <w:rsid w:val="00E71D31"/>
    <w:rsid w:val="00E818F3"/>
    <w:rsid w:val="00E86265"/>
    <w:rsid w:val="00E87564"/>
    <w:rsid w:val="00E96E31"/>
    <w:rsid w:val="00EB1386"/>
    <w:rsid w:val="00EB19AF"/>
    <w:rsid w:val="00EB278A"/>
    <w:rsid w:val="00EB28C5"/>
    <w:rsid w:val="00ED013D"/>
    <w:rsid w:val="00EE1A5F"/>
    <w:rsid w:val="00EE2487"/>
    <w:rsid w:val="00EE48E7"/>
    <w:rsid w:val="00EE757F"/>
    <w:rsid w:val="00EF1547"/>
    <w:rsid w:val="00EF30CB"/>
    <w:rsid w:val="00EF6EFA"/>
    <w:rsid w:val="00F009C1"/>
    <w:rsid w:val="00F0423C"/>
    <w:rsid w:val="00F067AF"/>
    <w:rsid w:val="00F21697"/>
    <w:rsid w:val="00F26B78"/>
    <w:rsid w:val="00F31736"/>
    <w:rsid w:val="00F4195D"/>
    <w:rsid w:val="00F432D1"/>
    <w:rsid w:val="00F43DE2"/>
    <w:rsid w:val="00F45F90"/>
    <w:rsid w:val="00F571AC"/>
    <w:rsid w:val="00F572A4"/>
    <w:rsid w:val="00F61BB8"/>
    <w:rsid w:val="00F65821"/>
    <w:rsid w:val="00F675FD"/>
    <w:rsid w:val="00F86A13"/>
    <w:rsid w:val="00F91049"/>
    <w:rsid w:val="00F91058"/>
    <w:rsid w:val="00F95B52"/>
    <w:rsid w:val="00FA6016"/>
    <w:rsid w:val="00FA7B89"/>
    <w:rsid w:val="00FB0A1D"/>
    <w:rsid w:val="00FB122E"/>
    <w:rsid w:val="00FB3CFE"/>
    <w:rsid w:val="00FB6F24"/>
    <w:rsid w:val="00FC4DB8"/>
    <w:rsid w:val="00FD0936"/>
    <w:rsid w:val="00FD43BC"/>
    <w:rsid w:val="00FD4D99"/>
    <w:rsid w:val="00FD5FC6"/>
    <w:rsid w:val="00FD7EAB"/>
    <w:rsid w:val="00FE0BCD"/>
    <w:rsid w:val="00FE3E91"/>
    <w:rsid w:val="00FE442D"/>
    <w:rsid w:val="00FF12D1"/>
    <w:rsid w:val="00FF30E5"/>
    <w:rsid w:val="0A8576BA"/>
    <w:rsid w:val="0EFD216F"/>
    <w:rsid w:val="13330AA6"/>
    <w:rsid w:val="234865A3"/>
    <w:rsid w:val="25AD1DEC"/>
    <w:rsid w:val="2D0C1326"/>
    <w:rsid w:val="2FAF5CED"/>
    <w:rsid w:val="325B2B04"/>
    <w:rsid w:val="363F095F"/>
    <w:rsid w:val="37250303"/>
    <w:rsid w:val="3EE9025D"/>
    <w:rsid w:val="465A5F81"/>
    <w:rsid w:val="675C4646"/>
    <w:rsid w:val="682B0584"/>
    <w:rsid w:val="6D0D7CCE"/>
    <w:rsid w:val="79707A88"/>
    <w:rsid w:val="7D865D94"/>
    <w:rsid w:val="7DF96BFC"/>
    <w:rsid w:val="7E910D68"/>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next w:val="3"/>
    <w:link w:val="22"/>
    <w:qFormat/>
    <w:uiPriority w:val="0"/>
    <w:pPr>
      <w:widowControl w:val="0"/>
      <w:numPr>
        <w:ilvl w:val="0"/>
        <w:numId w:val="1"/>
      </w:numPr>
      <w:spacing w:before="340" w:after="340" w:line="300" w:lineRule="auto"/>
      <w:outlineLvl w:val="0"/>
    </w:pPr>
    <w:rPr>
      <w:rFonts w:ascii="Times New Roman" w:hAnsi="Times New Roman" w:eastAsia="黑体" w:cs="Arial"/>
      <w:b/>
      <w:bCs/>
      <w:kern w:val="36"/>
      <w:sz w:val="21"/>
      <w:szCs w:val="21"/>
      <w:lang w:val="en-US" w:eastAsia="zh-CN" w:bidi="ar-SA"/>
    </w:rPr>
  </w:style>
  <w:style w:type="paragraph" w:styleId="4">
    <w:name w:val="heading 2"/>
    <w:basedOn w:val="1"/>
    <w:next w:val="1"/>
    <w:link w:val="23"/>
    <w:qFormat/>
    <w:uiPriority w:val="0"/>
    <w:pPr>
      <w:numPr>
        <w:ilvl w:val="1"/>
        <w:numId w:val="1"/>
      </w:numPr>
      <w:tabs>
        <w:tab w:val="left" w:pos="432"/>
      </w:tabs>
      <w:spacing w:before="260" w:after="260" w:line="300" w:lineRule="auto"/>
      <w:outlineLvl w:val="1"/>
    </w:pPr>
    <w:rPr>
      <w:rFonts w:ascii="Times New Roman" w:hAnsi="Times New Roman" w:eastAsia="黑体" w:cs="Arial"/>
      <w:b/>
      <w:bCs/>
      <w:kern w:val="36"/>
      <w:sz w:val="28"/>
      <w:szCs w:val="21"/>
    </w:rPr>
  </w:style>
  <w:style w:type="paragraph" w:styleId="5">
    <w:name w:val="heading 3"/>
    <w:basedOn w:val="1"/>
    <w:next w:val="1"/>
    <w:link w:val="24"/>
    <w:qFormat/>
    <w:uiPriority w:val="0"/>
    <w:pPr>
      <w:numPr>
        <w:ilvl w:val="2"/>
        <w:numId w:val="1"/>
      </w:numPr>
      <w:tabs>
        <w:tab w:val="left" w:pos="0"/>
        <w:tab w:val="left" w:pos="432"/>
      </w:tabs>
      <w:spacing w:before="260" w:after="260" w:line="300" w:lineRule="auto"/>
      <w:outlineLvl w:val="2"/>
    </w:pPr>
    <w:rPr>
      <w:rFonts w:ascii="Times New Roman" w:hAnsi="Times New Roman" w:eastAsia="黑体" w:cs="Times New Roman"/>
      <w:b/>
      <w:bCs/>
      <w:sz w:val="24"/>
      <w:szCs w:val="21"/>
    </w:rPr>
  </w:style>
  <w:style w:type="paragraph" w:styleId="6">
    <w:name w:val="heading 4"/>
    <w:next w:val="3"/>
    <w:link w:val="25"/>
    <w:qFormat/>
    <w:uiPriority w:val="0"/>
    <w:pPr>
      <w:keepNext/>
      <w:keepLines/>
      <w:numPr>
        <w:ilvl w:val="3"/>
        <w:numId w:val="1"/>
      </w:numPr>
      <w:tabs>
        <w:tab w:val="left" w:pos="0"/>
        <w:tab w:val="clear" w:pos="864"/>
      </w:tabs>
      <w:spacing w:line="300" w:lineRule="auto"/>
      <w:outlineLvl w:val="3"/>
    </w:pPr>
    <w:rPr>
      <w:rFonts w:ascii="Times New Roman" w:hAnsi="Times New Roman" w:eastAsia="黑体" w:cs="Times New Roman"/>
      <w:b/>
      <w:bCs/>
      <w:kern w:val="2"/>
      <w:sz w:val="21"/>
      <w:szCs w:val="21"/>
      <w:lang w:val="en-US" w:eastAsia="zh-CN" w:bidi="ar-SA"/>
    </w:rPr>
  </w:style>
  <w:style w:type="paragraph" w:styleId="7">
    <w:name w:val="heading 5"/>
    <w:basedOn w:val="1"/>
    <w:next w:val="1"/>
    <w:unhideWhenUsed/>
    <w:qFormat/>
    <w:uiPriority w:val="9"/>
    <w:pPr>
      <w:keepNext/>
      <w:keepLines/>
      <w:numPr>
        <w:ilvl w:val="4"/>
        <w:numId w:val="1"/>
      </w:numPr>
      <w:spacing w:line="372" w:lineRule="auto"/>
      <w:outlineLvl w:val="4"/>
    </w:pPr>
    <w:rPr>
      <w:b/>
      <w:sz w:val="28"/>
    </w:rPr>
  </w:style>
  <w:style w:type="paragraph" w:styleId="8">
    <w:name w:val="heading 6"/>
    <w:basedOn w:val="1"/>
    <w:next w:val="1"/>
    <w:unhideWhenUsed/>
    <w:qFormat/>
    <w:uiPriority w:val="9"/>
    <w:pPr>
      <w:keepNext/>
      <w:keepLines/>
      <w:numPr>
        <w:ilvl w:val="5"/>
        <w:numId w:val="1"/>
      </w:numPr>
      <w:spacing w:line="317" w:lineRule="auto"/>
      <w:outlineLvl w:val="5"/>
    </w:pPr>
    <w:rPr>
      <w:rFonts w:ascii="Arial" w:hAnsi="Arial" w:eastAsia="黑体"/>
      <w:b/>
      <w:sz w:val="24"/>
    </w:rPr>
  </w:style>
  <w:style w:type="paragraph" w:styleId="9">
    <w:name w:val="heading 7"/>
    <w:basedOn w:val="1"/>
    <w:next w:val="1"/>
    <w:unhideWhenUsed/>
    <w:qFormat/>
    <w:uiPriority w:val="9"/>
    <w:pPr>
      <w:keepNext/>
      <w:keepLines/>
      <w:numPr>
        <w:ilvl w:val="6"/>
        <w:numId w:val="1"/>
      </w:numPr>
      <w:spacing w:line="317" w:lineRule="auto"/>
      <w:outlineLvl w:val="6"/>
    </w:pPr>
    <w:rPr>
      <w:b/>
      <w:sz w:val="24"/>
    </w:rPr>
  </w:style>
  <w:style w:type="paragraph" w:styleId="10">
    <w:name w:val="heading 8"/>
    <w:basedOn w:val="1"/>
    <w:next w:val="1"/>
    <w:unhideWhenUsed/>
    <w:qFormat/>
    <w:uiPriority w:val="9"/>
    <w:pPr>
      <w:keepNext/>
      <w:keepLines/>
      <w:numPr>
        <w:ilvl w:val="7"/>
        <w:numId w:val="1"/>
      </w:numPr>
      <w:spacing w:line="317" w:lineRule="auto"/>
      <w:outlineLvl w:val="7"/>
    </w:pPr>
    <w:rPr>
      <w:rFonts w:ascii="Arial" w:hAnsi="Arial" w:eastAsia="黑体"/>
      <w:sz w:val="24"/>
    </w:rPr>
  </w:style>
  <w:style w:type="paragraph" w:styleId="11">
    <w:name w:val="heading 9"/>
    <w:basedOn w:val="1"/>
    <w:next w:val="1"/>
    <w:unhideWhenUsed/>
    <w:qFormat/>
    <w:uiPriority w:val="9"/>
    <w:pPr>
      <w:keepNext/>
      <w:keepLines/>
      <w:numPr>
        <w:ilvl w:val="8"/>
        <w:numId w:val="1"/>
      </w:numPr>
      <w:spacing w:line="317" w:lineRule="auto"/>
      <w:outlineLvl w:val="8"/>
    </w:pPr>
    <w:rPr>
      <w:rFonts w:ascii="Arial" w:hAnsi="Arial" w:eastAsia="黑体"/>
    </w:rPr>
  </w:style>
  <w:style w:type="character" w:default="1" w:styleId="18">
    <w:name w:val="Default Paragraph Font"/>
    <w:unhideWhenUsed/>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customStyle="1" w:styleId="3">
    <w:name w:val="正文缩进2字符"/>
    <w:qFormat/>
    <w:uiPriority w:val="0"/>
    <w:pPr>
      <w:spacing w:line="300" w:lineRule="auto"/>
      <w:ind w:firstLine="200" w:firstLineChars="200"/>
      <w:jc w:val="both"/>
    </w:pPr>
    <w:rPr>
      <w:rFonts w:ascii="Times New Roman" w:hAnsi="Times New Roman" w:eastAsia="宋体" w:cs="Times New Roman"/>
      <w:kern w:val="2"/>
      <w:sz w:val="21"/>
      <w:szCs w:val="24"/>
      <w:lang w:val="en-US" w:eastAsia="zh-CN" w:bidi="ar-SA"/>
    </w:rPr>
  </w:style>
  <w:style w:type="paragraph" w:styleId="12">
    <w:name w:val="annotation subject"/>
    <w:basedOn w:val="13"/>
    <w:next w:val="13"/>
    <w:link w:val="29"/>
    <w:unhideWhenUsed/>
    <w:qFormat/>
    <w:uiPriority w:val="99"/>
    <w:rPr>
      <w:b/>
      <w:bCs/>
    </w:rPr>
  </w:style>
  <w:style w:type="paragraph" w:styleId="13">
    <w:name w:val="annotation text"/>
    <w:basedOn w:val="1"/>
    <w:link w:val="28"/>
    <w:unhideWhenUsed/>
    <w:uiPriority w:val="99"/>
    <w:pPr>
      <w:jc w:val="left"/>
    </w:pPr>
  </w:style>
  <w:style w:type="paragraph" w:styleId="14">
    <w:name w:val="Document Map"/>
    <w:basedOn w:val="1"/>
    <w:link w:val="32"/>
    <w:unhideWhenUsed/>
    <w:qFormat/>
    <w:uiPriority w:val="99"/>
    <w:rPr>
      <w:rFonts w:ascii="宋体" w:eastAsia="宋体"/>
      <w:sz w:val="18"/>
      <w:szCs w:val="18"/>
    </w:rPr>
  </w:style>
  <w:style w:type="paragraph" w:styleId="15">
    <w:name w:val="Balloon Text"/>
    <w:basedOn w:val="1"/>
    <w:link w:val="30"/>
    <w:unhideWhenUsed/>
    <w:qFormat/>
    <w:uiPriority w:val="99"/>
    <w:rPr>
      <w:sz w:val="18"/>
      <w:szCs w:val="18"/>
    </w:rPr>
  </w:style>
  <w:style w:type="paragraph" w:styleId="16">
    <w:name w:val="footer"/>
    <w:basedOn w:val="1"/>
    <w:link w:val="27"/>
    <w:unhideWhenUsed/>
    <w:qFormat/>
    <w:uiPriority w:val="99"/>
    <w:pPr>
      <w:tabs>
        <w:tab w:val="center" w:pos="4153"/>
        <w:tab w:val="right" w:pos="8306"/>
      </w:tabs>
      <w:snapToGrid w:val="0"/>
      <w:jc w:val="left"/>
    </w:pPr>
    <w:rPr>
      <w:sz w:val="18"/>
      <w:szCs w:val="18"/>
    </w:rPr>
  </w:style>
  <w:style w:type="paragraph" w:styleId="17">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character" w:styleId="19">
    <w:name w:val="Hyperlink"/>
    <w:basedOn w:val="18"/>
    <w:unhideWhenUsed/>
    <w:uiPriority w:val="99"/>
    <w:rPr>
      <w:color w:val="0000FF" w:themeColor="hyperlink"/>
      <w:u w:val="single"/>
    </w:rPr>
  </w:style>
  <w:style w:type="character" w:styleId="20">
    <w:name w:val="annotation reference"/>
    <w:basedOn w:val="18"/>
    <w:unhideWhenUsed/>
    <w:qFormat/>
    <w:uiPriority w:val="99"/>
    <w:rPr>
      <w:sz w:val="21"/>
      <w:szCs w:val="21"/>
    </w:rPr>
  </w:style>
  <w:style w:type="character" w:customStyle="1" w:styleId="22">
    <w:name w:val="标题 1 Char"/>
    <w:basedOn w:val="18"/>
    <w:link w:val="2"/>
    <w:uiPriority w:val="0"/>
    <w:rPr>
      <w:rFonts w:ascii="Times New Roman" w:hAnsi="Times New Roman" w:eastAsia="黑体" w:cs="Arial"/>
      <w:b/>
      <w:bCs/>
      <w:kern w:val="36"/>
      <w:sz w:val="21"/>
      <w:szCs w:val="21"/>
    </w:rPr>
  </w:style>
  <w:style w:type="character" w:customStyle="1" w:styleId="23">
    <w:name w:val="标题 2 Char"/>
    <w:basedOn w:val="18"/>
    <w:link w:val="4"/>
    <w:qFormat/>
    <w:uiPriority w:val="0"/>
    <w:rPr>
      <w:rFonts w:ascii="Times New Roman" w:hAnsi="Times New Roman" w:eastAsia="黑体" w:cs="Arial"/>
      <w:b/>
      <w:bCs/>
      <w:kern w:val="36"/>
      <w:sz w:val="28"/>
      <w:szCs w:val="21"/>
    </w:rPr>
  </w:style>
  <w:style w:type="character" w:customStyle="1" w:styleId="24">
    <w:name w:val="标题 3 Char"/>
    <w:basedOn w:val="18"/>
    <w:link w:val="5"/>
    <w:qFormat/>
    <w:uiPriority w:val="0"/>
    <w:rPr>
      <w:rFonts w:ascii="Times New Roman" w:hAnsi="Times New Roman" w:eastAsia="黑体" w:cs="Times New Roman"/>
      <w:b/>
      <w:bCs/>
      <w:kern w:val="2"/>
      <w:sz w:val="24"/>
      <w:szCs w:val="21"/>
    </w:rPr>
  </w:style>
  <w:style w:type="character" w:customStyle="1" w:styleId="25">
    <w:name w:val="标题 4 Char"/>
    <w:basedOn w:val="18"/>
    <w:link w:val="6"/>
    <w:qFormat/>
    <w:uiPriority w:val="0"/>
    <w:rPr>
      <w:rFonts w:ascii="Times New Roman" w:hAnsi="Times New Roman" w:eastAsia="黑体" w:cs="Times New Roman"/>
      <w:b/>
      <w:bCs/>
      <w:szCs w:val="21"/>
    </w:rPr>
  </w:style>
  <w:style w:type="character" w:customStyle="1" w:styleId="26">
    <w:name w:val="页眉 Char"/>
    <w:basedOn w:val="18"/>
    <w:link w:val="17"/>
    <w:semiHidden/>
    <w:qFormat/>
    <w:uiPriority w:val="99"/>
    <w:rPr>
      <w:sz w:val="18"/>
      <w:szCs w:val="18"/>
    </w:rPr>
  </w:style>
  <w:style w:type="character" w:customStyle="1" w:styleId="27">
    <w:name w:val="页脚 Char"/>
    <w:basedOn w:val="18"/>
    <w:link w:val="16"/>
    <w:semiHidden/>
    <w:qFormat/>
    <w:uiPriority w:val="99"/>
    <w:rPr>
      <w:sz w:val="18"/>
      <w:szCs w:val="18"/>
    </w:rPr>
  </w:style>
  <w:style w:type="character" w:customStyle="1" w:styleId="28">
    <w:name w:val="批注文字 Char"/>
    <w:basedOn w:val="18"/>
    <w:link w:val="13"/>
    <w:semiHidden/>
    <w:qFormat/>
    <w:uiPriority w:val="99"/>
  </w:style>
  <w:style w:type="character" w:customStyle="1" w:styleId="29">
    <w:name w:val="批注主题 Char"/>
    <w:basedOn w:val="28"/>
    <w:link w:val="12"/>
    <w:semiHidden/>
    <w:qFormat/>
    <w:uiPriority w:val="99"/>
    <w:rPr>
      <w:b/>
      <w:bCs/>
    </w:rPr>
  </w:style>
  <w:style w:type="character" w:customStyle="1" w:styleId="30">
    <w:name w:val="批注框文本 Char"/>
    <w:basedOn w:val="18"/>
    <w:link w:val="15"/>
    <w:semiHidden/>
    <w:qFormat/>
    <w:uiPriority w:val="99"/>
    <w:rPr>
      <w:sz w:val="18"/>
      <w:szCs w:val="18"/>
    </w:rPr>
  </w:style>
  <w:style w:type="paragraph" w:customStyle="1" w:styleId="31">
    <w:name w:val="列出段落1"/>
    <w:basedOn w:val="1"/>
    <w:qFormat/>
    <w:uiPriority w:val="34"/>
    <w:pPr>
      <w:ind w:firstLine="420" w:firstLineChars="200"/>
    </w:pPr>
  </w:style>
  <w:style w:type="character" w:customStyle="1" w:styleId="32">
    <w:name w:val="文档结构图 Char"/>
    <w:basedOn w:val="18"/>
    <w:link w:val="14"/>
    <w:semiHidden/>
    <w:qFormat/>
    <w:uiPriority w:val="99"/>
    <w:rPr>
      <w:rFonts w:ascii="宋体" w:eastAsia="宋体"/>
      <w:sz w:val="18"/>
      <w:szCs w:val="18"/>
    </w:rPr>
  </w:style>
  <w:style w:type="paragraph" w:customStyle="1" w:styleId="33">
    <w:name w:val="ccb正文"/>
    <w:basedOn w:val="1"/>
    <w:qFormat/>
    <w:uiPriority w:val="0"/>
    <w:pPr>
      <w:spacing w:line="360" w:lineRule="auto"/>
      <w:jc w:val="center"/>
    </w:pPr>
    <w:rPr>
      <w:rFonts w:ascii="宋体" w:hAnsi="Times New Roman" w:eastAsia="宋体" w:cs="宋体"/>
      <w:color w:val="000000"/>
      <w:szCs w:val="24"/>
    </w:rPr>
  </w:style>
  <w:style w:type="paragraph" w:customStyle="1" w:styleId="34">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image" Target="media/image1.emf"/><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22.emf"/><Relationship Id="rId46" Type="http://schemas.openxmlformats.org/officeDocument/2006/relationships/oleObject" Target="embeddings/oleObject22.bin"/><Relationship Id="rId45" Type="http://schemas.openxmlformats.org/officeDocument/2006/relationships/image" Target="media/image21.emf"/><Relationship Id="rId44" Type="http://schemas.openxmlformats.org/officeDocument/2006/relationships/oleObject" Target="embeddings/oleObject21.bin"/><Relationship Id="rId43" Type="http://schemas.openxmlformats.org/officeDocument/2006/relationships/image" Target="media/image20.emf"/><Relationship Id="rId42" Type="http://schemas.openxmlformats.org/officeDocument/2006/relationships/oleObject" Target="embeddings/oleObject20.bin"/><Relationship Id="rId41" Type="http://schemas.openxmlformats.org/officeDocument/2006/relationships/image" Target="media/image19.e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emf"/><Relationship Id="rId38" Type="http://schemas.openxmlformats.org/officeDocument/2006/relationships/oleObject" Target="embeddings/oleObject18.bin"/><Relationship Id="rId37" Type="http://schemas.openxmlformats.org/officeDocument/2006/relationships/image" Target="media/image17.emf"/><Relationship Id="rId36" Type="http://schemas.openxmlformats.org/officeDocument/2006/relationships/oleObject" Target="embeddings/oleObject17.bin"/><Relationship Id="rId35" Type="http://schemas.openxmlformats.org/officeDocument/2006/relationships/image" Target="media/image16.emf"/><Relationship Id="rId34" Type="http://schemas.openxmlformats.org/officeDocument/2006/relationships/oleObject" Target="embeddings/oleObject16.bin"/><Relationship Id="rId33" Type="http://schemas.openxmlformats.org/officeDocument/2006/relationships/image" Target="media/image15.emf"/><Relationship Id="rId32" Type="http://schemas.openxmlformats.org/officeDocument/2006/relationships/oleObject" Target="embeddings/oleObject15.bin"/><Relationship Id="rId31" Type="http://schemas.openxmlformats.org/officeDocument/2006/relationships/image" Target="media/image14.e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emf"/><Relationship Id="rId28" Type="http://schemas.openxmlformats.org/officeDocument/2006/relationships/oleObject" Target="embeddings/oleObject13.bin"/><Relationship Id="rId27" Type="http://schemas.openxmlformats.org/officeDocument/2006/relationships/image" Target="media/image12.emf"/><Relationship Id="rId26" Type="http://schemas.openxmlformats.org/officeDocument/2006/relationships/oleObject" Target="embeddings/oleObject12.bin"/><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 Type="http://schemas.openxmlformats.org/officeDocument/2006/relationships/oleObject" Target="embeddings/oleObject10.bin"/><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2CF708-A28B-4F6C-A0CA-69FC9B724721}">
  <ds:schemaRefs/>
</ds:datastoreItem>
</file>

<file path=docProps/app.xml><?xml version="1.0" encoding="utf-8"?>
<Properties xmlns="http://schemas.openxmlformats.org/officeDocument/2006/extended-properties" xmlns:vt="http://schemas.openxmlformats.org/officeDocument/2006/docPropsVTypes">
  <Template>Normal</Template>
  <Pages>1</Pages>
  <Words>1229</Words>
  <Characters>7009</Characters>
  <Lines>58</Lines>
  <Paragraphs>16</Paragraphs>
  <TotalTime>0</TotalTime>
  <ScaleCrop>false</ScaleCrop>
  <LinksUpToDate>false</LinksUpToDate>
  <CharactersWithSpaces>8222</CharactersWithSpaces>
  <Application>WPS Office_10.1.0.5740_F1E327BC-269C-435d-A152-05C5408002CA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2016-08-11T08:55:00Z</dcterms:created>
  <dc:creator>hz</dc:creator>
  <cp:lastModifiedBy>Administrator</cp:lastModifiedBy>
  <dcterms:modified xsi:type="dcterms:W3CDTF">2016-08-19T02:56:24Z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